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70D91BA" w14:textId="77777777" w:rsidR="00AC6592" w:rsidRPr="008A1CFD" w:rsidRDefault="008E1904" w:rsidP="0035118D">
      <w:pPr>
        <w:tabs>
          <w:tab w:val="left" w:pos="1125"/>
        </w:tabs>
        <w:rPr>
          <w:rFonts w:ascii="Arial" w:hAnsi="Arial" w:cs="Arial"/>
          <w:highlight w:val="yellow"/>
        </w:rPr>
        <w:sectPr w:rsidR="00AC6592" w:rsidRPr="008A1CFD" w:rsidSect="007E364A">
          <w:footerReference w:type="default" r:id="rId8"/>
          <w:pgSz w:w="11900" w:h="16840"/>
          <w:pgMar w:top="1440" w:right="560" w:bottom="1440" w:left="993" w:header="0" w:footer="198" w:gutter="0"/>
          <w:cols w:space="708"/>
          <w:docGrid w:linePitch="360"/>
        </w:sectPr>
      </w:pPr>
      <w:r w:rsidRPr="008A1CFD">
        <w:rPr>
          <w:rFonts w:ascii="Arial" w:eastAsia="Times New Roman" w:hAnsi="Arial" w:cs="Arial"/>
          <w:noProof/>
          <w:color w:val="007DBA"/>
          <w:lang w:eastAsia="en-AU"/>
        </w:rPr>
        <mc:AlternateContent>
          <mc:Choice Requires="wps">
            <w:drawing>
              <wp:anchor distT="0" distB="0" distL="114300" distR="114300" simplePos="0" relativeHeight="251659264" behindDoc="0" locked="0" layoutInCell="1" allowOverlap="1" wp14:anchorId="319B5E65" wp14:editId="30811977">
                <wp:simplePos x="0" y="0"/>
                <wp:positionH relativeFrom="column">
                  <wp:posOffset>5636895</wp:posOffset>
                </wp:positionH>
                <wp:positionV relativeFrom="paragraph">
                  <wp:posOffset>342900</wp:posOffset>
                </wp:positionV>
                <wp:extent cx="1125855" cy="224154"/>
                <wp:effectExtent l="0" t="0" r="0" b="508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5855" cy="224154"/>
                        </a:xfrm>
                        <a:prstGeom prst="rect">
                          <a:avLst/>
                        </a:prstGeom>
                        <a:noFill/>
                        <a:ln w="9525">
                          <a:noFill/>
                          <a:miter lim="800000"/>
                          <a:headEnd/>
                          <a:tailEnd/>
                        </a:ln>
                      </wps:spPr>
                      <wps:txbx>
                        <w:txbxContent>
                          <w:p w14:paraId="3CC15F91" w14:textId="77777777" w:rsidR="00CC3588" w:rsidRDefault="004F6BFA" w:rsidP="00CC3588">
                            <w:pPr>
                              <w:jc w:val="right"/>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September</w:t>
                            </w:r>
                            <w:r w:rsidR="00BB58A2">
                              <w:rPr>
                                <w:rFonts w:ascii="Verdana" w:eastAsia="Times New Roman" w:hAnsi="Verdana" w:cs="Times New Roman"/>
                                <w:color w:val="FFFFFF" w:themeColor="background1"/>
                                <w:sz w:val="16"/>
                                <w:szCs w:val="18"/>
                              </w:rPr>
                              <w:t xml:space="preserve"> 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25CAAF" id="_x0000_t202" coordsize="21600,21600" o:spt="202" path="m,l,21600r21600,l21600,xe">
                <v:stroke joinstyle="miter"/>
                <v:path gradientshapeok="t" o:connecttype="rect"/>
              </v:shapetype>
              <v:shape id="Text Box 307" o:spid="_x0000_s1026" type="#_x0000_t202" style="position:absolute;margin-left:443.85pt;margin-top:27pt;width:88.65pt;height:17.6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" filled="f" stroked="f">
                <v:textbox style="mso-fit-shape-to-text:t">
                  <w:txbxContent>
                    <w:p w:rsidR="00CC3588" w:rsidRDefault="004F6BFA" w:rsidP="00CC3588">
                      <w:pPr>
                        <w:jc w:val="right"/>
                        <w:rPr>
                          <w:rFonts w:ascii="Verdana" w:eastAsia="Times New Roman" w:hAnsi="Verdana" w:cs="Times New Roman"/>
                          <w:color w:val="FFFFFF" w:themeColor="background1"/>
                          <w:sz w:val="16"/>
                          <w:szCs w:val="18"/>
                        </w:rPr>
                      </w:pPr>
                      <w:r>
                        <w:rPr>
                          <w:rFonts w:ascii="Verdana" w:eastAsia="Times New Roman" w:hAnsi="Verdana" w:cs="Times New Roman"/>
                          <w:color w:val="FFFFFF" w:themeColor="background1"/>
                          <w:sz w:val="16"/>
                          <w:szCs w:val="18"/>
                        </w:rPr>
                        <w:t>September</w:t>
                      </w:r>
                      <w:r w:rsidR="00BB58A2">
                        <w:rPr>
                          <w:rFonts w:ascii="Verdana" w:eastAsia="Times New Roman" w:hAnsi="Verdana" w:cs="Times New Roman"/>
                          <w:color w:val="FFFFFF" w:themeColor="background1"/>
                          <w:sz w:val="16"/>
                          <w:szCs w:val="18"/>
                        </w:rPr>
                        <w:t xml:space="preserve"> 2019</w:t>
                      </w:r>
                    </w:p>
                  </w:txbxContent>
                </v:textbox>
              </v:shape>
            </w:pict>
          </mc:Fallback>
        </mc:AlternateContent>
      </w:r>
      <w:r>
        <w:rPr>
          <w:rFonts w:ascii="Arial" w:eastAsia="Times New Roman" w:hAnsi="Arial" w:cs="Arial"/>
          <w:noProof/>
          <w:color w:val="007DBA"/>
          <w:lang w:eastAsia="en-AU"/>
        </w:rPr>
        <w:drawing>
          <wp:anchor distT="0" distB="0" distL="114300" distR="114300" simplePos="0" relativeHeight="251654143" behindDoc="0" locked="0" layoutInCell="1" allowOverlap="1" wp14:anchorId="63BABCBA" wp14:editId="0DE704E3">
            <wp:simplePos x="0" y="0"/>
            <wp:positionH relativeFrom="page">
              <wp:align>right</wp:align>
            </wp:positionH>
            <wp:positionV relativeFrom="margin">
              <wp:posOffset>-1038225</wp:posOffset>
            </wp:positionV>
            <wp:extent cx="7635240" cy="1781810"/>
            <wp:effectExtent l="0" t="0" r="3810" b="8890"/>
            <wp:wrapThrough wrapText="bothSides">
              <wp:wrapPolygon edited="0">
                <wp:start x="0" y="0"/>
                <wp:lineTo x="0" y="21477"/>
                <wp:lineTo x="21557" y="21477"/>
                <wp:lineTo x="2155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35240" cy="17818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9C5387" w14:textId="77777777" w:rsidR="004F6BFA" w:rsidRPr="004F6BFA" w:rsidRDefault="004F6BFA" w:rsidP="004F6BFA">
      <w:pPr>
        <w:pStyle w:val="Subheading1"/>
        <w:spacing w:before="0" w:after="0" w:line="240" w:lineRule="auto"/>
        <w:ind w:hanging="142"/>
        <w:rPr>
          <w:rFonts w:ascii="Arial" w:hAnsi="Arial" w:cs="Arial"/>
          <w:color w:val="C9D712"/>
          <w:sz w:val="28"/>
          <w:szCs w:val="28"/>
        </w:rPr>
      </w:pPr>
      <w:r w:rsidRPr="004F6BFA">
        <w:rPr>
          <w:rFonts w:ascii="Arial" w:hAnsi="Arial" w:cs="Arial"/>
          <w:color w:val="C9D712"/>
          <w:sz w:val="28"/>
          <w:szCs w:val="28"/>
        </w:rPr>
        <w:t>Risk assets faltered</w:t>
      </w:r>
    </w:p>
    <w:p w14:paraId="3E3D3C68" w14:textId="77777777" w:rsidR="004F6BFA" w:rsidRPr="004F6BFA" w:rsidRDefault="004F6BFA" w:rsidP="004F6BFA">
      <w:pPr>
        <w:pStyle w:val="NoSpacing"/>
        <w:numPr>
          <w:ilvl w:val="0"/>
          <w:numId w:val="27"/>
        </w:numPr>
        <w:ind w:left="357" w:hanging="357"/>
        <w:rPr>
          <w:sz w:val="17"/>
          <w:szCs w:val="17"/>
        </w:rPr>
      </w:pPr>
      <w:r w:rsidRPr="004F6BFA">
        <w:rPr>
          <w:sz w:val="17"/>
          <w:szCs w:val="17"/>
        </w:rPr>
        <w:t>The rally from December faltered slightly with most equity markets down for the month.</w:t>
      </w:r>
    </w:p>
    <w:p w14:paraId="4E433DDE" w14:textId="77777777" w:rsidR="004F6BFA" w:rsidRPr="004F6BFA" w:rsidRDefault="004F6BFA" w:rsidP="004F6BFA">
      <w:pPr>
        <w:pStyle w:val="NoSpacing"/>
        <w:numPr>
          <w:ilvl w:val="0"/>
          <w:numId w:val="27"/>
        </w:numPr>
        <w:ind w:left="357" w:hanging="357"/>
        <w:rPr>
          <w:sz w:val="17"/>
          <w:szCs w:val="17"/>
        </w:rPr>
      </w:pPr>
      <w:r w:rsidRPr="004F6BFA">
        <w:rPr>
          <w:b/>
          <w:sz w:val="17"/>
          <w:szCs w:val="17"/>
        </w:rPr>
        <w:t>Global shares</w:t>
      </w:r>
      <w:r w:rsidRPr="004F6BFA">
        <w:rPr>
          <w:sz w:val="17"/>
          <w:szCs w:val="17"/>
        </w:rPr>
        <w:t xml:space="preserve"> were down 2% and up 0.3% in hedged and unhedged terms, respectively.</w:t>
      </w:r>
    </w:p>
    <w:p w14:paraId="04A9508F" w14:textId="77777777" w:rsidR="004F6BFA" w:rsidRPr="004F6BFA" w:rsidRDefault="004F6BFA" w:rsidP="004F6BFA">
      <w:pPr>
        <w:pStyle w:val="NoSpacing"/>
        <w:numPr>
          <w:ilvl w:val="0"/>
          <w:numId w:val="27"/>
        </w:numPr>
        <w:ind w:left="357" w:hanging="357"/>
        <w:rPr>
          <w:sz w:val="17"/>
          <w:szCs w:val="17"/>
        </w:rPr>
      </w:pPr>
      <w:r w:rsidRPr="004F6BFA">
        <w:rPr>
          <w:sz w:val="17"/>
          <w:szCs w:val="17"/>
        </w:rPr>
        <w:t xml:space="preserve">Domestically, </w:t>
      </w:r>
      <w:r w:rsidRPr="004F6BFA">
        <w:rPr>
          <w:b/>
          <w:sz w:val="17"/>
          <w:szCs w:val="17"/>
        </w:rPr>
        <w:t>Australian shares</w:t>
      </w:r>
      <w:r w:rsidRPr="004F6BFA">
        <w:rPr>
          <w:sz w:val="17"/>
          <w:szCs w:val="17"/>
        </w:rPr>
        <w:t xml:space="preserve"> underperformed international markets this month with -2.4% performance in August.</w:t>
      </w:r>
    </w:p>
    <w:p w14:paraId="6E84286E" w14:textId="77777777" w:rsidR="004F6BFA" w:rsidRPr="004F6BFA" w:rsidRDefault="004F6BFA" w:rsidP="004F6BFA">
      <w:pPr>
        <w:pStyle w:val="NoSpacing"/>
        <w:numPr>
          <w:ilvl w:val="0"/>
          <w:numId w:val="27"/>
        </w:numPr>
        <w:ind w:left="357" w:hanging="357"/>
        <w:rPr>
          <w:sz w:val="17"/>
          <w:szCs w:val="17"/>
        </w:rPr>
      </w:pPr>
      <w:r w:rsidRPr="004F6BFA">
        <w:rPr>
          <w:sz w:val="17"/>
          <w:szCs w:val="17"/>
        </w:rPr>
        <w:t>Australian health care stocks continued to perform strongly with CSL (ASX: CSL) seeing its FY19 results favourably received as the company guided to earnings growth by another 7% to 10% for FY20. This followed 17% growth in FY19 to $US1.91bn in line with market expectations and even allowed for the short-term hit to profitability of switching to a direct distribution model.</w:t>
      </w:r>
    </w:p>
    <w:p w14:paraId="5F1003C9" w14:textId="77777777" w:rsidR="004F6BFA" w:rsidRPr="004F6BFA" w:rsidRDefault="004F6BFA" w:rsidP="004F6BFA">
      <w:pPr>
        <w:pStyle w:val="NoSpacing"/>
        <w:numPr>
          <w:ilvl w:val="0"/>
          <w:numId w:val="27"/>
        </w:numPr>
        <w:ind w:left="357" w:hanging="357"/>
        <w:rPr>
          <w:sz w:val="17"/>
          <w:szCs w:val="17"/>
        </w:rPr>
      </w:pPr>
      <w:r w:rsidRPr="004F6BFA">
        <w:rPr>
          <w:sz w:val="17"/>
          <w:szCs w:val="17"/>
        </w:rPr>
        <w:t xml:space="preserve">The </w:t>
      </w:r>
      <w:r w:rsidRPr="004F6BFA">
        <w:rPr>
          <w:b/>
          <w:sz w:val="17"/>
          <w:szCs w:val="17"/>
        </w:rPr>
        <w:t>Australian dollar (AUD)</w:t>
      </w:r>
      <w:r w:rsidRPr="004F6BFA">
        <w:rPr>
          <w:sz w:val="17"/>
          <w:szCs w:val="17"/>
        </w:rPr>
        <w:t xml:space="preserve"> fell against major currencies following another bout of trade-induced fears for global growth. The prospect of a weaker Chinese economy due to harsher tariffs has contributed to speculation against the Australian dollar as has stronger iron ore supply which reduces resource earnings (a key support for the AUD).</w:t>
      </w:r>
    </w:p>
    <w:p w14:paraId="046E31BB" w14:textId="77777777" w:rsidR="004F6BFA" w:rsidRPr="004F6BFA" w:rsidRDefault="004F6BFA" w:rsidP="004F6BFA">
      <w:pPr>
        <w:pStyle w:val="NoSpacing"/>
        <w:numPr>
          <w:ilvl w:val="0"/>
          <w:numId w:val="27"/>
        </w:numPr>
        <w:ind w:left="357" w:hanging="357"/>
        <w:rPr>
          <w:sz w:val="17"/>
          <w:szCs w:val="17"/>
        </w:rPr>
      </w:pPr>
      <w:r w:rsidRPr="004F6BFA">
        <w:rPr>
          <w:sz w:val="17"/>
          <w:szCs w:val="17"/>
        </w:rPr>
        <w:t xml:space="preserve">Fixed income and bond substitutes such as </w:t>
      </w:r>
      <w:r w:rsidRPr="004F6BFA">
        <w:rPr>
          <w:b/>
          <w:sz w:val="17"/>
          <w:szCs w:val="17"/>
        </w:rPr>
        <w:t>listed property</w:t>
      </w:r>
      <w:r w:rsidRPr="004F6BFA">
        <w:rPr>
          <w:sz w:val="17"/>
          <w:szCs w:val="17"/>
        </w:rPr>
        <w:t xml:space="preserve"> rose in August both domestically and globally. Unhedged assets outperformed hedged equivalents in line with the depreciation of the AUD.</w:t>
      </w:r>
    </w:p>
    <w:p w14:paraId="12768224" w14:textId="77777777" w:rsidR="004F6BFA" w:rsidRPr="004F6BFA" w:rsidRDefault="004F6BFA" w:rsidP="004F6BFA">
      <w:pPr>
        <w:pStyle w:val="NoSpacing"/>
        <w:numPr>
          <w:ilvl w:val="0"/>
          <w:numId w:val="27"/>
        </w:numPr>
        <w:ind w:left="357" w:hanging="357"/>
        <w:rPr>
          <w:sz w:val="17"/>
          <w:szCs w:val="17"/>
        </w:rPr>
      </w:pPr>
      <w:r w:rsidRPr="004F6BFA">
        <w:rPr>
          <w:b/>
          <w:sz w:val="17"/>
          <w:szCs w:val="17"/>
        </w:rPr>
        <w:t>International fixed income</w:t>
      </w:r>
      <w:r w:rsidRPr="004F6BFA">
        <w:rPr>
          <w:sz w:val="17"/>
          <w:szCs w:val="17"/>
        </w:rPr>
        <w:t xml:space="preserve"> continued to rise on the prospect of additional central bank easing and demand for </w:t>
      </w:r>
      <w:proofErr w:type="gramStart"/>
      <w:r w:rsidRPr="004F6BFA">
        <w:rPr>
          <w:sz w:val="17"/>
          <w:szCs w:val="17"/>
        </w:rPr>
        <w:t>safe haven</w:t>
      </w:r>
      <w:proofErr w:type="gramEnd"/>
      <w:r w:rsidRPr="004F6BFA">
        <w:rPr>
          <w:sz w:val="17"/>
          <w:szCs w:val="17"/>
        </w:rPr>
        <w:t xml:space="preserve"> assets. The prospect of falling interest rates makes existing bonds more attractive so much so that almost 30% of the Barclays Global Aggregate is now offering a negative yield (due to investors bidding prices higher). Weaker US PMI results have stoked fears of weaker global growth as well, driving bond yields lower.</w:t>
      </w:r>
    </w:p>
    <w:p w14:paraId="676B6330" w14:textId="77777777" w:rsidR="0035118D" w:rsidRDefault="0035118D" w:rsidP="00A7531F">
      <w:pPr>
        <w:pStyle w:val="NoSpacing"/>
        <w:numPr>
          <w:ilvl w:val="0"/>
          <w:numId w:val="27"/>
        </w:numPr>
      </w:pPr>
    </w:p>
    <w:p w14:paraId="1DC9068D" w14:textId="77777777" w:rsidR="002A3462" w:rsidRPr="006E468F" w:rsidRDefault="002A3462" w:rsidP="002A3462">
      <w:pPr>
        <w:rPr>
          <w:rFonts w:cs="Arial"/>
          <w:b/>
        </w:rPr>
      </w:pPr>
      <w:r w:rsidRPr="002A3462">
        <w:rPr>
          <w:rFonts w:ascii="Arial" w:eastAsia="Times New Roman" w:hAnsi="Arial" w:cs="Arial"/>
          <w:color w:val="C9D712"/>
          <w:sz w:val="28"/>
          <w:szCs w:val="28"/>
        </w:rPr>
        <w:t xml:space="preserve">With </w:t>
      </w:r>
      <w:r w:rsidR="0035118D">
        <w:rPr>
          <w:rFonts w:ascii="Arial" w:eastAsia="Times New Roman" w:hAnsi="Arial" w:cs="Arial"/>
          <w:color w:val="C9D712"/>
          <w:sz w:val="28"/>
          <w:szCs w:val="28"/>
        </w:rPr>
        <w:t>disappointing</w:t>
      </w:r>
      <w:r w:rsidRPr="002A3462">
        <w:rPr>
          <w:rFonts w:ascii="Arial" w:eastAsia="Times New Roman" w:hAnsi="Arial" w:cs="Arial"/>
          <w:color w:val="C9D712"/>
          <w:sz w:val="28"/>
          <w:szCs w:val="28"/>
        </w:rPr>
        <w:t xml:space="preserve"> economic news…</w:t>
      </w:r>
    </w:p>
    <w:p w14:paraId="440D0818" w14:textId="77777777" w:rsidR="0035118D" w:rsidRPr="004F6BFA" w:rsidRDefault="0035118D" w:rsidP="00A7531F">
      <w:pPr>
        <w:pStyle w:val="NoSpacing"/>
        <w:rPr>
          <w:b/>
          <w:sz w:val="17"/>
          <w:szCs w:val="17"/>
        </w:rPr>
      </w:pPr>
      <w:r w:rsidRPr="004F6BFA">
        <w:rPr>
          <w:b/>
          <w:sz w:val="17"/>
          <w:szCs w:val="17"/>
        </w:rPr>
        <w:t>Globally</w:t>
      </w:r>
    </w:p>
    <w:p w14:paraId="42FC5563" w14:textId="77777777" w:rsidR="004F6BFA" w:rsidRPr="004F6BFA" w:rsidRDefault="004F6BFA" w:rsidP="004F6BFA">
      <w:pPr>
        <w:pStyle w:val="NoSpacing"/>
        <w:numPr>
          <w:ilvl w:val="0"/>
          <w:numId w:val="26"/>
        </w:numPr>
        <w:ind w:left="357" w:hanging="357"/>
        <w:rPr>
          <w:sz w:val="17"/>
          <w:szCs w:val="17"/>
        </w:rPr>
      </w:pPr>
      <w:r w:rsidRPr="004F6BFA">
        <w:rPr>
          <w:sz w:val="17"/>
          <w:szCs w:val="17"/>
        </w:rPr>
        <w:t xml:space="preserve">US-China trade tensions flared up with new US tariff threats realised in early September with more waiting in the wings. </w:t>
      </w:r>
    </w:p>
    <w:p w14:paraId="65649A8B" w14:textId="77777777" w:rsidR="004F6BFA" w:rsidRPr="004F6BFA" w:rsidRDefault="004F6BFA" w:rsidP="004F6BFA">
      <w:pPr>
        <w:pStyle w:val="NoSpacing"/>
        <w:numPr>
          <w:ilvl w:val="0"/>
          <w:numId w:val="26"/>
        </w:numPr>
        <w:ind w:left="357" w:hanging="357"/>
        <w:rPr>
          <w:sz w:val="17"/>
          <w:szCs w:val="17"/>
        </w:rPr>
      </w:pPr>
      <w:r w:rsidRPr="004F6BFA">
        <w:rPr>
          <w:sz w:val="17"/>
          <w:szCs w:val="17"/>
        </w:rPr>
        <w:t>These fears have abated somewhat with the restart of trade negotiations between China and the US in October.</w:t>
      </w:r>
    </w:p>
    <w:p w14:paraId="5F89AFB2" w14:textId="77777777" w:rsidR="004F6BFA" w:rsidRPr="004F6BFA" w:rsidRDefault="004F6BFA" w:rsidP="004F6BFA">
      <w:pPr>
        <w:pStyle w:val="NoSpacing"/>
        <w:numPr>
          <w:ilvl w:val="0"/>
          <w:numId w:val="26"/>
        </w:numPr>
        <w:ind w:left="357" w:hanging="357"/>
        <w:rPr>
          <w:sz w:val="17"/>
          <w:szCs w:val="17"/>
        </w:rPr>
      </w:pPr>
      <w:r w:rsidRPr="004F6BFA">
        <w:rPr>
          <w:sz w:val="17"/>
          <w:szCs w:val="17"/>
        </w:rPr>
        <w:t>Global business surveys pointed to weaker manufacturing growth with the Markit Global Manufacturing PMI remaining in contractionary territory.</w:t>
      </w:r>
    </w:p>
    <w:p w14:paraId="40261A67" w14:textId="77777777" w:rsidR="004F6BFA" w:rsidRPr="004F6BFA" w:rsidRDefault="004F6BFA" w:rsidP="004F6BFA">
      <w:pPr>
        <w:pStyle w:val="NoSpacing"/>
        <w:rPr>
          <w:b/>
          <w:sz w:val="17"/>
          <w:szCs w:val="17"/>
        </w:rPr>
      </w:pPr>
      <w:r w:rsidRPr="004F6BFA">
        <w:rPr>
          <w:b/>
          <w:sz w:val="17"/>
          <w:szCs w:val="17"/>
        </w:rPr>
        <w:t>Locally</w:t>
      </w:r>
    </w:p>
    <w:p w14:paraId="10CFB9FD" w14:textId="77777777" w:rsidR="004F6BFA" w:rsidRPr="00C21893" w:rsidRDefault="004F6BFA" w:rsidP="004F6BFA">
      <w:pPr>
        <w:pStyle w:val="NoSpacing"/>
        <w:numPr>
          <w:ilvl w:val="0"/>
          <w:numId w:val="26"/>
        </w:numPr>
        <w:ind w:left="357" w:hanging="357"/>
        <w:rPr>
          <w:sz w:val="17"/>
          <w:szCs w:val="17"/>
        </w:rPr>
      </w:pPr>
      <w:r w:rsidRPr="00C21893">
        <w:rPr>
          <w:sz w:val="17"/>
          <w:szCs w:val="17"/>
        </w:rPr>
        <w:t>The Reserve Bank of Australia (RBA) remained on hold in early September and reiterated the need for a government response to slowing economic growth.</w:t>
      </w:r>
    </w:p>
    <w:p w14:paraId="0C1EC6DA" w14:textId="77777777" w:rsidR="004F6BFA" w:rsidRPr="00C21893" w:rsidRDefault="004F6BFA" w:rsidP="004F6BFA">
      <w:pPr>
        <w:pStyle w:val="NoSpacing"/>
        <w:numPr>
          <w:ilvl w:val="0"/>
          <w:numId w:val="26"/>
        </w:numPr>
        <w:ind w:left="357" w:hanging="357"/>
        <w:rPr>
          <w:sz w:val="17"/>
          <w:szCs w:val="17"/>
        </w:rPr>
      </w:pPr>
      <w:r w:rsidRPr="00C21893">
        <w:rPr>
          <w:sz w:val="17"/>
          <w:szCs w:val="17"/>
        </w:rPr>
        <w:t xml:space="preserve">The Australian economy grew in line with expectations at 0.5% for the quarter and 1.4% for the year to June 2019. </w:t>
      </w:r>
    </w:p>
    <w:p w14:paraId="13BF458E" w14:textId="77777777" w:rsidR="004F6BFA" w:rsidRPr="00C21893" w:rsidRDefault="004F6BFA" w:rsidP="004F6BFA">
      <w:pPr>
        <w:pStyle w:val="NoSpacing"/>
        <w:numPr>
          <w:ilvl w:val="0"/>
          <w:numId w:val="26"/>
        </w:numPr>
        <w:ind w:left="357" w:hanging="357"/>
        <w:rPr>
          <w:sz w:val="17"/>
          <w:szCs w:val="17"/>
        </w:rPr>
      </w:pPr>
      <w:r w:rsidRPr="00C21893">
        <w:rPr>
          <w:sz w:val="17"/>
          <w:szCs w:val="17"/>
        </w:rPr>
        <w:t xml:space="preserve">This slower rate of growth was driven by weakness in both consumer and business spending as well as a decline in inventories. </w:t>
      </w:r>
    </w:p>
    <w:p w14:paraId="2BDC2072" w14:textId="77777777" w:rsidR="004F6BFA" w:rsidRPr="00C21893" w:rsidRDefault="004F6BFA" w:rsidP="004F6BFA">
      <w:pPr>
        <w:pStyle w:val="NoSpacing"/>
        <w:numPr>
          <w:ilvl w:val="0"/>
          <w:numId w:val="26"/>
        </w:numPr>
        <w:ind w:left="357" w:hanging="357"/>
        <w:rPr>
          <w:sz w:val="17"/>
          <w:szCs w:val="17"/>
        </w:rPr>
      </w:pPr>
      <w:r w:rsidRPr="00C21893">
        <w:rPr>
          <w:sz w:val="17"/>
          <w:szCs w:val="17"/>
        </w:rPr>
        <w:t xml:space="preserve">The outlook for growth may see some room for an uptick from these levels given still strong resource demand as well as the full impact of the RBA rate cuts and government tax refunds to be felt in the September quarter. </w:t>
      </w:r>
      <w:proofErr w:type="gramStart"/>
      <w:r w:rsidRPr="00C21893">
        <w:rPr>
          <w:sz w:val="17"/>
          <w:szCs w:val="17"/>
        </w:rPr>
        <w:t>That being said we</w:t>
      </w:r>
      <w:proofErr w:type="gramEnd"/>
      <w:r w:rsidRPr="00C21893">
        <w:rPr>
          <w:sz w:val="17"/>
          <w:szCs w:val="17"/>
        </w:rPr>
        <w:t xml:space="preserve"> continue to favour defensive exposures for the Australian economy as </w:t>
      </w:r>
      <w:r w:rsidRPr="00C21893">
        <w:rPr>
          <w:sz w:val="17"/>
          <w:szCs w:val="17"/>
        </w:rPr>
        <w:t>weak wage growth and household indebtedness act as constraints to a material uptick in consumption.</w:t>
      </w:r>
    </w:p>
    <w:p w14:paraId="36D5704F" w14:textId="77777777" w:rsidR="004F6BFA" w:rsidRPr="00C21893" w:rsidRDefault="004F6BFA" w:rsidP="004F6BFA">
      <w:pPr>
        <w:pStyle w:val="NoSpacing"/>
        <w:numPr>
          <w:ilvl w:val="0"/>
          <w:numId w:val="26"/>
        </w:numPr>
        <w:ind w:left="357" w:hanging="357"/>
        <w:rPr>
          <w:sz w:val="17"/>
          <w:szCs w:val="17"/>
        </w:rPr>
      </w:pPr>
      <w:r w:rsidRPr="00C21893">
        <w:rPr>
          <w:sz w:val="17"/>
          <w:szCs w:val="17"/>
        </w:rPr>
        <w:t xml:space="preserve">The unemployment rate remained at 5.2% while employment growth surprised on the upside. Leading business indicators such as the NAB Business Survey continue to suggest weaker labour markets ahead. </w:t>
      </w:r>
    </w:p>
    <w:p w14:paraId="354257B3" w14:textId="77777777" w:rsidR="004F6BFA" w:rsidRPr="00C21893" w:rsidRDefault="004F6BFA" w:rsidP="004F6BFA">
      <w:pPr>
        <w:pStyle w:val="NoSpacing"/>
        <w:numPr>
          <w:ilvl w:val="0"/>
          <w:numId w:val="26"/>
        </w:numPr>
        <w:ind w:left="357" w:hanging="357"/>
        <w:rPr>
          <w:sz w:val="17"/>
          <w:szCs w:val="17"/>
        </w:rPr>
      </w:pPr>
      <w:r w:rsidRPr="00C21893">
        <w:rPr>
          <w:sz w:val="17"/>
          <w:szCs w:val="17"/>
        </w:rPr>
        <w:t>We saw an uptick in sentiment towards property markets continue with some appreciation in Sydney and Melbourne.</w:t>
      </w:r>
    </w:p>
    <w:p w14:paraId="4D2B2F11" w14:textId="77777777" w:rsidR="004F6BFA" w:rsidRPr="00C21893" w:rsidRDefault="004F6BFA" w:rsidP="004F6BFA">
      <w:pPr>
        <w:pStyle w:val="NoSpacing"/>
        <w:numPr>
          <w:ilvl w:val="0"/>
          <w:numId w:val="26"/>
        </w:numPr>
        <w:ind w:left="357" w:hanging="357"/>
        <w:rPr>
          <w:sz w:val="17"/>
          <w:szCs w:val="17"/>
        </w:rPr>
      </w:pPr>
      <w:r w:rsidRPr="00C21893">
        <w:rPr>
          <w:sz w:val="17"/>
          <w:szCs w:val="17"/>
        </w:rPr>
        <w:t>A resumption of stronger credit growth has also appeared with 4.2% growth in the number of commitments for owner-occupiers (consensus: 1.5%). This may see financial stability concerns raised for future RBA rate decisions.</w:t>
      </w:r>
    </w:p>
    <w:p w14:paraId="0CB96C21" w14:textId="77777777" w:rsidR="003C31FA" w:rsidRPr="008E1904" w:rsidRDefault="00A97D63" w:rsidP="00567152">
      <w:pPr>
        <w:rPr>
          <w:rFonts w:ascii="Arial" w:eastAsia="Times New Roman" w:hAnsi="Arial" w:cs="Arial"/>
          <w:color w:val="C9D712"/>
          <w:sz w:val="16"/>
          <w:szCs w:val="16"/>
        </w:rPr>
      </w:pPr>
      <w:r w:rsidRPr="00A97D63">
        <w:rPr>
          <w:rFonts w:ascii="Arial" w:hAnsi="Arial" w:cs="Arial"/>
          <w:color w:val="C9D712"/>
          <w:sz w:val="10"/>
          <w:szCs w:val="10"/>
        </w:rPr>
        <w:br/>
      </w:r>
      <w:r w:rsidR="002D297E" w:rsidRPr="008E1904">
        <w:rPr>
          <w:rFonts w:ascii="Arial" w:hAnsi="Arial" w:cs="Arial"/>
          <w:color w:val="C9D712"/>
          <w:sz w:val="28"/>
          <w:szCs w:val="28"/>
        </w:rPr>
        <w:t>Major asset class performance</w:t>
      </w:r>
    </w:p>
    <w:tbl>
      <w:tblPr>
        <w:tblpPr w:leftFromText="180" w:rightFromText="180" w:vertAnchor="text" w:horzAnchor="margin" w:tblpXSpec="right" w:tblpY="119"/>
        <w:tblW w:w="4962"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518"/>
        <w:gridCol w:w="851"/>
        <w:gridCol w:w="708"/>
        <w:gridCol w:w="885"/>
      </w:tblGrid>
      <w:tr w:rsidR="002D297E" w:rsidRPr="00F63FD5" w14:paraId="79F2F9CC" w14:textId="77777777" w:rsidTr="00B0269B">
        <w:trPr>
          <w:trHeight w:val="310"/>
          <w:tblHeader/>
        </w:trPr>
        <w:tc>
          <w:tcPr>
            <w:tcW w:w="2518" w:type="dxa"/>
            <w:tcBorders>
              <w:top w:val="single" w:sz="4" w:space="0" w:color="5D4F4B"/>
              <w:left w:val="nil"/>
              <w:bottom w:val="nil"/>
              <w:right w:val="nil"/>
            </w:tcBorders>
            <w:shd w:val="clear" w:color="auto" w:fill="004165"/>
            <w:vAlign w:val="center"/>
            <w:hideMark/>
          </w:tcPr>
          <w:p w14:paraId="4075F65F" w14:textId="77777777" w:rsidR="002D297E" w:rsidRPr="00F63FD5" w:rsidRDefault="002D297E" w:rsidP="002D297E">
            <w:pPr>
              <w:pStyle w:val="TableHeading"/>
              <w:spacing w:before="0" w:after="0"/>
              <w:rPr>
                <w:rFonts w:ascii="Arial" w:hAnsi="Arial" w:cs="Arial"/>
              </w:rPr>
            </w:pPr>
            <w:r w:rsidRPr="00F63FD5">
              <w:rPr>
                <w:rFonts w:ascii="Arial" w:hAnsi="Arial" w:cs="Arial"/>
              </w:rPr>
              <w:t>Asset classes</w:t>
            </w:r>
          </w:p>
        </w:tc>
        <w:tc>
          <w:tcPr>
            <w:tcW w:w="851" w:type="dxa"/>
            <w:tcBorders>
              <w:top w:val="single" w:sz="4" w:space="0" w:color="5D4F4B"/>
              <w:left w:val="nil"/>
              <w:bottom w:val="nil"/>
              <w:right w:val="nil"/>
            </w:tcBorders>
            <w:shd w:val="clear" w:color="auto" w:fill="004165"/>
            <w:vAlign w:val="center"/>
            <w:hideMark/>
          </w:tcPr>
          <w:p w14:paraId="08795FD3" w14:textId="77777777" w:rsidR="002D297E" w:rsidRPr="00F63FD5" w:rsidRDefault="002D297E" w:rsidP="002D297E">
            <w:pPr>
              <w:pStyle w:val="TableHeading"/>
              <w:spacing w:before="0" w:after="0"/>
              <w:jc w:val="center"/>
              <w:rPr>
                <w:rFonts w:ascii="Arial" w:hAnsi="Arial" w:cs="Arial"/>
              </w:rPr>
            </w:pPr>
            <w:r w:rsidRPr="00F63FD5">
              <w:rPr>
                <w:rFonts w:ascii="Arial" w:hAnsi="Arial" w:cs="Arial"/>
              </w:rPr>
              <w:t>1 month</w:t>
            </w:r>
            <w:r w:rsidR="00F62A5F">
              <w:rPr>
                <w:rFonts w:ascii="Arial" w:hAnsi="Arial" w:cs="Arial"/>
              </w:rPr>
              <w:br/>
              <w:t>%</w:t>
            </w:r>
          </w:p>
        </w:tc>
        <w:tc>
          <w:tcPr>
            <w:tcW w:w="708"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14:paraId="335DD5CE" w14:textId="77777777" w:rsidR="002D297E" w:rsidRPr="00F63FD5" w:rsidRDefault="00F62A5F" w:rsidP="002D297E">
            <w:pPr>
              <w:pStyle w:val="TableHeading"/>
              <w:spacing w:before="0" w:after="0"/>
              <w:jc w:val="center"/>
              <w:rPr>
                <w:rFonts w:ascii="Arial" w:hAnsi="Arial" w:cs="Arial"/>
              </w:rPr>
            </w:pPr>
            <w:r>
              <w:rPr>
                <w:rFonts w:ascii="Arial" w:hAnsi="Arial" w:cs="Arial"/>
              </w:rPr>
              <w:t>1 year</w:t>
            </w:r>
            <w:r>
              <w:rPr>
                <w:rFonts w:ascii="Arial" w:hAnsi="Arial" w:cs="Arial"/>
              </w:rPr>
              <w:br/>
              <w:t>%</w:t>
            </w:r>
          </w:p>
        </w:tc>
        <w:tc>
          <w:tcPr>
            <w:tcW w:w="885" w:type="dxa"/>
            <w:tcBorders>
              <w:top w:val="single" w:sz="4" w:space="0" w:color="5D4F4B"/>
              <w:left w:val="nil"/>
              <w:bottom w:val="nil"/>
              <w:right w:val="nil"/>
            </w:tcBorders>
            <w:shd w:val="clear" w:color="auto" w:fill="004165"/>
            <w:vAlign w:val="center"/>
          </w:tcPr>
          <w:p w14:paraId="31E0037F" w14:textId="77777777" w:rsidR="002D297E" w:rsidRPr="00F63FD5" w:rsidRDefault="002D297E" w:rsidP="002D297E">
            <w:pPr>
              <w:pStyle w:val="TableHeading"/>
              <w:spacing w:before="0" w:after="0"/>
              <w:jc w:val="center"/>
              <w:rPr>
                <w:rFonts w:ascii="Arial" w:hAnsi="Arial" w:cs="Arial"/>
              </w:rPr>
            </w:pPr>
            <w:r w:rsidRPr="00F63FD5">
              <w:rPr>
                <w:rFonts w:ascii="Arial" w:hAnsi="Arial" w:cs="Arial"/>
              </w:rPr>
              <w:t>5 years (p.a.)</w:t>
            </w:r>
            <w:r w:rsidR="00F62A5F">
              <w:rPr>
                <w:rFonts w:ascii="Arial" w:hAnsi="Arial" w:cs="Arial"/>
              </w:rPr>
              <w:t xml:space="preserve"> %</w:t>
            </w:r>
          </w:p>
        </w:tc>
      </w:tr>
      <w:tr w:rsidR="002D297E" w:rsidRPr="00F63FD5" w14:paraId="7407A683" w14:textId="77777777" w:rsidTr="00B0269B">
        <w:trPr>
          <w:trHeight w:val="262"/>
        </w:trPr>
        <w:tc>
          <w:tcPr>
            <w:tcW w:w="2518" w:type="dxa"/>
            <w:tcBorders>
              <w:top w:val="nil"/>
              <w:left w:val="nil"/>
              <w:bottom w:val="nil"/>
              <w:right w:val="nil"/>
            </w:tcBorders>
            <w:vAlign w:val="center"/>
            <w:hideMark/>
          </w:tcPr>
          <w:p w14:paraId="7965FF11"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shares</w:t>
            </w:r>
          </w:p>
        </w:tc>
        <w:tc>
          <w:tcPr>
            <w:tcW w:w="851" w:type="dxa"/>
            <w:tcBorders>
              <w:top w:val="nil"/>
              <w:left w:val="nil"/>
              <w:bottom w:val="nil"/>
              <w:right w:val="nil"/>
            </w:tcBorders>
            <w:vAlign w:val="center"/>
          </w:tcPr>
          <w:p w14:paraId="58F72809" w14:textId="77777777" w:rsidR="002D297E" w:rsidRPr="00F63FD5" w:rsidRDefault="00DD741A" w:rsidP="002D297E">
            <w:pPr>
              <w:jc w:val="center"/>
              <w:rPr>
                <w:rFonts w:ascii="Arial" w:hAnsi="Arial" w:cs="Arial"/>
                <w:sz w:val="16"/>
                <w:szCs w:val="16"/>
              </w:rPr>
            </w:pPr>
            <w:r>
              <w:rPr>
                <w:rFonts w:ascii="Arial" w:hAnsi="Arial" w:cs="Arial"/>
                <w:sz w:val="16"/>
                <w:szCs w:val="16"/>
              </w:rPr>
              <w:t>-2</w:t>
            </w:r>
            <w:r w:rsidR="00D151D6">
              <w:rPr>
                <w:rFonts w:ascii="Arial" w:hAnsi="Arial" w:cs="Arial"/>
                <w:sz w:val="16"/>
                <w:szCs w:val="16"/>
              </w:rPr>
              <w:t>.</w:t>
            </w:r>
            <w:r>
              <w:rPr>
                <w:rFonts w:ascii="Arial" w:hAnsi="Arial" w:cs="Arial"/>
                <w:sz w:val="16"/>
                <w:szCs w:val="16"/>
              </w:rPr>
              <w:t>4</w:t>
            </w:r>
          </w:p>
        </w:tc>
        <w:tc>
          <w:tcPr>
            <w:tcW w:w="708" w:type="dxa"/>
            <w:tcBorders>
              <w:top w:val="nil"/>
              <w:left w:val="nil"/>
              <w:bottom w:val="nil"/>
              <w:right w:val="nil"/>
            </w:tcBorders>
            <w:tcMar>
              <w:top w:w="0" w:type="dxa"/>
              <w:left w:w="28" w:type="dxa"/>
              <w:bottom w:w="0" w:type="dxa"/>
              <w:right w:w="28" w:type="dxa"/>
            </w:tcMar>
            <w:vAlign w:val="center"/>
          </w:tcPr>
          <w:p w14:paraId="1CC7BAA9" w14:textId="77777777" w:rsidR="002D297E" w:rsidRPr="00F63FD5" w:rsidRDefault="00F62A5F" w:rsidP="002D297E">
            <w:pPr>
              <w:rPr>
                <w:rFonts w:ascii="Arial" w:hAnsi="Arial" w:cs="Arial"/>
                <w:sz w:val="16"/>
                <w:szCs w:val="16"/>
              </w:rPr>
            </w:pPr>
            <w:r>
              <w:rPr>
                <w:rFonts w:ascii="Arial" w:hAnsi="Arial" w:cs="Arial"/>
                <w:sz w:val="16"/>
                <w:szCs w:val="16"/>
              </w:rPr>
              <w:t xml:space="preserve">   </w:t>
            </w:r>
            <w:r w:rsidR="00DD741A">
              <w:rPr>
                <w:rFonts w:ascii="Arial" w:hAnsi="Arial" w:cs="Arial"/>
                <w:sz w:val="16"/>
                <w:szCs w:val="16"/>
              </w:rPr>
              <w:t xml:space="preserve">  9</w:t>
            </w:r>
            <w:r w:rsidR="00B61C50">
              <w:rPr>
                <w:rFonts w:ascii="Arial" w:hAnsi="Arial" w:cs="Arial"/>
                <w:sz w:val="16"/>
                <w:szCs w:val="16"/>
              </w:rPr>
              <w:t>.</w:t>
            </w:r>
            <w:r w:rsidR="00DD741A">
              <w:rPr>
                <w:rFonts w:ascii="Arial" w:hAnsi="Arial" w:cs="Arial"/>
                <w:sz w:val="16"/>
                <w:szCs w:val="16"/>
              </w:rPr>
              <w:t>0</w:t>
            </w:r>
          </w:p>
        </w:tc>
        <w:tc>
          <w:tcPr>
            <w:tcW w:w="885" w:type="dxa"/>
            <w:tcBorders>
              <w:top w:val="nil"/>
              <w:left w:val="nil"/>
              <w:bottom w:val="nil"/>
              <w:right w:val="nil"/>
            </w:tcBorders>
            <w:vAlign w:val="center"/>
          </w:tcPr>
          <w:p w14:paraId="3550B39F" w14:textId="77777777" w:rsidR="002D297E" w:rsidRPr="00F63FD5" w:rsidRDefault="00DD741A" w:rsidP="002D297E">
            <w:pPr>
              <w:jc w:val="center"/>
              <w:rPr>
                <w:rFonts w:ascii="Arial" w:hAnsi="Arial" w:cs="Arial"/>
                <w:sz w:val="16"/>
                <w:szCs w:val="16"/>
              </w:rPr>
            </w:pPr>
            <w:r>
              <w:rPr>
                <w:rFonts w:ascii="Arial" w:hAnsi="Arial" w:cs="Arial"/>
                <w:sz w:val="16"/>
                <w:szCs w:val="16"/>
              </w:rPr>
              <w:t>7</w:t>
            </w:r>
            <w:r w:rsidR="00134AF0">
              <w:rPr>
                <w:rFonts w:ascii="Arial" w:hAnsi="Arial" w:cs="Arial"/>
                <w:sz w:val="16"/>
                <w:szCs w:val="16"/>
              </w:rPr>
              <w:t>.</w:t>
            </w:r>
            <w:r w:rsidR="0035118D">
              <w:rPr>
                <w:rFonts w:ascii="Arial" w:hAnsi="Arial" w:cs="Arial"/>
                <w:sz w:val="16"/>
                <w:szCs w:val="16"/>
              </w:rPr>
              <w:t>9</w:t>
            </w:r>
          </w:p>
        </w:tc>
      </w:tr>
      <w:tr w:rsidR="002D297E" w:rsidRPr="00F63FD5" w14:paraId="274ABD92" w14:textId="77777777" w:rsidTr="00CA2B56">
        <w:trPr>
          <w:trHeight w:val="262"/>
        </w:trPr>
        <w:tc>
          <w:tcPr>
            <w:tcW w:w="2518" w:type="dxa"/>
            <w:tcBorders>
              <w:top w:val="nil"/>
              <w:left w:val="nil"/>
              <w:bottom w:val="nil"/>
              <w:right w:val="nil"/>
            </w:tcBorders>
            <w:shd w:val="clear" w:color="auto" w:fill="D9E2F3"/>
            <w:vAlign w:val="center"/>
            <w:hideMark/>
          </w:tcPr>
          <w:p w14:paraId="648BE1EE"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(hedged)</w:t>
            </w:r>
          </w:p>
        </w:tc>
        <w:tc>
          <w:tcPr>
            <w:tcW w:w="851" w:type="dxa"/>
            <w:tcBorders>
              <w:top w:val="nil"/>
              <w:left w:val="nil"/>
              <w:bottom w:val="nil"/>
              <w:right w:val="nil"/>
            </w:tcBorders>
            <w:shd w:val="clear" w:color="auto" w:fill="D9E2F3"/>
            <w:vAlign w:val="center"/>
          </w:tcPr>
          <w:p w14:paraId="6567487E" w14:textId="77777777" w:rsidR="002D297E" w:rsidRPr="00F63FD5" w:rsidRDefault="0035118D" w:rsidP="0035118D">
            <w:pPr>
              <w:rPr>
                <w:rFonts w:ascii="Arial" w:hAnsi="Arial" w:cs="Arial"/>
                <w:sz w:val="16"/>
                <w:szCs w:val="16"/>
              </w:rPr>
            </w:pPr>
            <w:r>
              <w:rPr>
                <w:rFonts w:ascii="Arial" w:hAnsi="Arial" w:cs="Arial"/>
                <w:sz w:val="16"/>
                <w:szCs w:val="16"/>
              </w:rPr>
              <w:t xml:space="preserve">    </w:t>
            </w:r>
            <w:r w:rsidR="00DD741A">
              <w:rPr>
                <w:rFonts w:ascii="Arial" w:hAnsi="Arial" w:cs="Arial"/>
                <w:sz w:val="16"/>
                <w:szCs w:val="16"/>
              </w:rPr>
              <w:t>-2</w:t>
            </w:r>
            <w:r w:rsidR="00B61C50">
              <w:rPr>
                <w:rFonts w:ascii="Arial" w:hAnsi="Arial" w:cs="Arial"/>
                <w:sz w:val="16"/>
                <w:szCs w:val="16"/>
              </w:rPr>
              <w:t>.</w:t>
            </w:r>
            <w:r w:rsidR="00DD741A">
              <w:rPr>
                <w:rFonts w:ascii="Arial" w:hAnsi="Arial" w:cs="Arial"/>
                <w:sz w:val="16"/>
                <w:szCs w:val="16"/>
              </w:rPr>
              <w:t>0</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4654EC3B" w14:textId="77777777" w:rsidR="002D297E" w:rsidRPr="00F63FD5" w:rsidRDefault="00F62A5F" w:rsidP="002D297E">
            <w:pPr>
              <w:rPr>
                <w:rFonts w:ascii="Arial" w:hAnsi="Arial" w:cs="Arial"/>
                <w:sz w:val="16"/>
                <w:szCs w:val="16"/>
              </w:rPr>
            </w:pPr>
            <w:r>
              <w:rPr>
                <w:rFonts w:ascii="Arial" w:hAnsi="Arial" w:cs="Arial"/>
                <w:sz w:val="16"/>
                <w:szCs w:val="16"/>
              </w:rPr>
              <w:t xml:space="preserve"> </w:t>
            </w:r>
            <w:r w:rsidR="00F60529">
              <w:rPr>
                <w:rFonts w:ascii="Arial" w:hAnsi="Arial" w:cs="Arial"/>
                <w:sz w:val="16"/>
                <w:szCs w:val="16"/>
              </w:rPr>
              <w:t xml:space="preserve">  </w:t>
            </w:r>
            <w:r>
              <w:rPr>
                <w:rFonts w:ascii="Arial" w:hAnsi="Arial" w:cs="Arial"/>
                <w:sz w:val="16"/>
                <w:szCs w:val="16"/>
              </w:rPr>
              <w:t xml:space="preserve">  </w:t>
            </w:r>
            <w:r w:rsidR="00DD741A">
              <w:rPr>
                <w:rFonts w:ascii="Arial" w:hAnsi="Arial" w:cs="Arial"/>
                <w:sz w:val="16"/>
                <w:szCs w:val="16"/>
              </w:rPr>
              <w:t>0</w:t>
            </w:r>
            <w:r w:rsidR="00F60529">
              <w:rPr>
                <w:rFonts w:ascii="Arial" w:hAnsi="Arial" w:cs="Arial"/>
                <w:sz w:val="16"/>
                <w:szCs w:val="16"/>
              </w:rPr>
              <w:t>.</w:t>
            </w:r>
            <w:r w:rsidR="00DD741A">
              <w:rPr>
                <w:rFonts w:ascii="Arial" w:hAnsi="Arial" w:cs="Arial"/>
                <w:sz w:val="16"/>
                <w:szCs w:val="16"/>
              </w:rPr>
              <w:t>5</w:t>
            </w:r>
          </w:p>
        </w:tc>
        <w:tc>
          <w:tcPr>
            <w:tcW w:w="885" w:type="dxa"/>
            <w:tcBorders>
              <w:top w:val="nil"/>
              <w:left w:val="nil"/>
              <w:bottom w:val="nil"/>
              <w:right w:val="nil"/>
            </w:tcBorders>
            <w:shd w:val="clear" w:color="auto" w:fill="D9E2F3"/>
            <w:vAlign w:val="center"/>
          </w:tcPr>
          <w:p w14:paraId="42F760D6" w14:textId="77777777" w:rsidR="002D297E" w:rsidRPr="00F63FD5" w:rsidRDefault="00DD741A" w:rsidP="00B0269B">
            <w:pPr>
              <w:jc w:val="center"/>
              <w:rPr>
                <w:rFonts w:ascii="Arial" w:hAnsi="Arial" w:cs="Arial"/>
                <w:sz w:val="16"/>
                <w:szCs w:val="16"/>
              </w:rPr>
            </w:pPr>
            <w:r>
              <w:rPr>
                <w:rFonts w:ascii="Arial" w:hAnsi="Arial" w:cs="Arial"/>
                <w:sz w:val="16"/>
                <w:szCs w:val="16"/>
              </w:rPr>
              <w:t>8</w:t>
            </w:r>
            <w:r w:rsidR="00134AF0">
              <w:rPr>
                <w:rFonts w:ascii="Arial" w:hAnsi="Arial" w:cs="Arial"/>
                <w:sz w:val="16"/>
                <w:szCs w:val="16"/>
              </w:rPr>
              <w:t>.</w:t>
            </w:r>
            <w:r>
              <w:rPr>
                <w:rFonts w:ascii="Arial" w:hAnsi="Arial" w:cs="Arial"/>
                <w:sz w:val="16"/>
                <w:szCs w:val="16"/>
              </w:rPr>
              <w:t>6</w:t>
            </w:r>
          </w:p>
        </w:tc>
      </w:tr>
      <w:tr w:rsidR="002D297E" w:rsidRPr="00F63FD5" w14:paraId="593BCE39" w14:textId="77777777" w:rsidTr="00B0269B">
        <w:trPr>
          <w:trHeight w:val="262"/>
        </w:trPr>
        <w:tc>
          <w:tcPr>
            <w:tcW w:w="2518" w:type="dxa"/>
            <w:tcBorders>
              <w:top w:val="nil"/>
              <w:left w:val="nil"/>
              <w:bottom w:val="nil"/>
              <w:right w:val="nil"/>
            </w:tcBorders>
            <w:shd w:val="clear" w:color="auto" w:fill="FFFFFF" w:themeFill="background1"/>
            <w:vAlign w:val="center"/>
            <w:hideMark/>
          </w:tcPr>
          <w:p w14:paraId="79575CFB"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shares (unhedged)</w:t>
            </w:r>
          </w:p>
        </w:tc>
        <w:tc>
          <w:tcPr>
            <w:tcW w:w="851" w:type="dxa"/>
            <w:tcBorders>
              <w:top w:val="nil"/>
              <w:left w:val="nil"/>
              <w:bottom w:val="nil"/>
              <w:right w:val="nil"/>
            </w:tcBorders>
            <w:shd w:val="clear" w:color="auto" w:fill="FFFFFF" w:themeFill="background1"/>
            <w:vAlign w:val="center"/>
          </w:tcPr>
          <w:p w14:paraId="27970C4F" w14:textId="77777777" w:rsidR="002D297E" w:rsidRPr="00F63FD5" w:rsidRDefault="0035118D" w:rsidP="002D297E">
            <w:pPr>
              <w:jc w:val="center"/>
              <w:rPr>
                <w:rFonts w:ascii="Arial" w:hAnsi="Arial" w:cs="Arial"/>
                <w:sz w:val="16"/>
                <w:szCs w:val="16"/>
              </w:rPr>
            </w:pPr>
            <w:r>
              <w:rPr>
                <w:rFonts w:ascii="Arial" w:hAnsi="Arial" w:cs="Arial"/>
                <w:sz w:val="16"/>
                <w:szCs w:val="16"/>
              </w:rPr>
              <w:t xml:space="preserve"> </w:t>
            </w:r>
            <w:r w:rsidR="00DD741A">
              <w:rPr>
                <w:rFonts w:ascii="Arial" w:hAnsi="Arial" w:cs="Arial"/>
                <w:sz w:val="16"/>
                <w:szCs w:val="16"/>
              </w:rPr>
              <w:t>0</w:t>
            </w:r>
            <w:r w:rsidR="00B61C50">
              <w:rPr>
                <w:rFonts w:ascii="Arial" w:hAnsi="Arial" w:cs="Arial"/>
                <w:sz w:val="16"/>
                <w:szCs w:val="16"/>
              </w:rPr>
              <w:t>.</w:t>
            </w:r>
            <w:r>
              <w:rPr>
                <w:rFonts w:ascii="Arial" w:hAnsi="Arial" w:cs="Arial"/>
                <w:sz w:val="16"/>
                <w:szCs w:val="16"/>
              </w:rPr>
              <w:t>3</w:t>
            </w:r>
          </w:p>
        </w:tc>
        <w:tc>
          <w:tcPr>
            <w:tcW w:w="708"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68C007BE" w14:textId="77777777" w:rsidR="002D297E" w:rsidRPr="00F63FD5" w:rsidRDefault="00DD741A" w:rsidP="002D297E">
            <w:pPr>
              <w:jc w:val="center"/>
              <w:rPr>
                <w:rFonts w:ascii="Arial" w:hAnsi="Arial" w:cs="Arial"/>
                <w:sz w:val="16"/>
                <w:szCs w:val="16"/>
              </w:rPr>
            </w:pPr>
            <w:r>
              <w:rPr>
                <w:rFonts w:ascii="Arial" w:hAnsi="Arial" w:cs="Arial"/>
                <w:sz w:val="16"/>
                <w:szCs w:val="16"/>
              </w:rPr>
              <w:t>7</w:t>
            </w:r>
            <w:r w:rsidR="00F60529">
              <w:rPr>
                <w:rFonts w:ascii="Arial" w:hAnsi="Arial" w:cs="Arial"/>
                <w:sz w:val="16"/>
                <w:szCs w:val="16"/>
              </w:rPr>
              <w:t>.</w:t>
            </w:r>
            <w:r>
              <w:rPr>
                <w:rFonts w:ascii="Arial" w:hAnsi="Arial" w:cs="Arial"/>
                <w:sz w:val="16"/>
                <w:szCs w:val="16"/>
              </w:rPr>
              <w:t>6</w:t>
            </w:r>
          </w:p>
        </w:tc>
        <w:tc>
          <w:tcPr>
            <w:tcW w:w="885" w:type="dxa"/>
            <w:tcBorders>
              <w:top w:val="nil"/>
              <w:left w:val="nil"/>
              <w:bottom w:val="nil"/>
              <w:right w:val="nil"/>
            </w:tcBorders>
            <w:shd w:val="clear" w:color="auto" w:fill="FFFFFF" w:themeFill="background1"/>
            <w:vAlign w:val="center"/>
          </w:tcPr>
          <w:p w14:paraId="29F5E415" w14:textId="77777777" w:rsidR="002D297E" w:rsidRPr="00F63FD5" w:rsidRDefault="00134AF0" w:rsidP="002D297E">
            <w:pPr>
              <w:jc w:val="center"/>
              <w:rPr>
                <w:rFonts w:ascii="Arial" w:hAnsi="Arial" w:cs="Arial"/>
                <w:sz w:val="16"/>
                <w:szCs w:val="16"/>
              </w:rPr>
            </w:pPr>
            <w:r>
              <w:rPr>
                <w:rFonts w:ascii="Arial" w:hAnsi="Arial" w:cs="Arial"/>
                <w:sz w:val="16"/>
                <w:szCs w:val="16"/>
              </w:rPr>
              <w:t>1</w:t>
            </w:r>
            <w:r w:rsidR="0035118D">
              <w:rPr>
                <w:rFonts w:ascii="Arial" w:hAnsi="Arial" w:cs="Arial"/>
                <w:sz w:val="16"/>
                <w:szCs w:val="16"/>
              </w:rPr>
              <w:t>3</w:t>
            </w:r>
            <w:r>
              <w:rPr>
                <w:rFonts w:ascii="Arial" w:hAnsi="Arial" w:cs="Arial"/>
                <w:sz w:val="16"/>
                <w:szCs w:val="16"/>
              </w:rPr>
              <w:t>.</w:t>
            </w:r>
            <w:r w:rsidR="00DD741A">
              <w:rPr>
                <w:rFonts w:ascii="Arial" w:hAnsi="Arial" w:cs="Arial"/>
                <w:sz w:val="16"/>
                <w:szCs w:val="16"/>
              </w:rPr>
              <w:t>5</w:t>
            </w:r>
          </w:p>
        </w:tc>
      </w:tr>
      <w:tr w:rsidR="002D297E" w:rsidRPr="00F63FD5" w14:paraId="50A48FA6" w14:textId="77777777" w:rsidTr="00CA2B56">
        <w:trPr>
          <w:trHeight w:val="262"/>
        </w:trPr>
        <w:tc>
          <w:tcPr>
            <w:tcW w:w="2518" w:type="dxa"/>
            <w:tcBorders>
              <w:top w:val="nil"/>
              <w:left w:val="nil"/>
              <w:bottom w:val="nil"/>
              <w:right w:val="nil"/>
            </w:tcBorders>
            <w:shd w:val="clear" w:color="auto" w:fill="D9E2F3"/>
            <w:vAlign w:val="center"/>
            <w:hideMark/>
          </w:tcPr>
          <w:p w14:paraId="66633D51"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 xml:space="preserve">Global </w:t>
            </w:r>
            <w:r w:rsidR="000D3C9B">
              <w:rPr>
                <w:rFonts w:ascii="Arial" w:hAnsi="Arial" w:cs="Arial"/>
                <w:b/>
                <w:color w:val="auto"/>
                <w:sz w:val="16"/>
              </w:rPr>
              <w:t>small</w:t>
            </w:r>
            <w:r w:rsidRPr="00F63FD5">
              <w:rPr>
                <w:rFonts w:ascii="Arial" w:hAnsi="Arial" w:cs="Arial"/>
                <w:b/>
                <w:color w:val="auto"/>
                <w:sz w:val="16"/>
              </w:rPr>
              <w:t xml:space="preserve"> </w:t>
            </w:r>
            <w:r w:rsidR="000D3C9B">
              <w:rPr>
                <w:rFonts w:ascii="Arial" w:hAnsi="Arial" w:cs="Arial"/>
                <w:b/>
                <w:color w:val="auto"/>
                <w:sz w:val="16"/>
              </w:rPr>
              <w:t>companies</w:t>
            </w:r>
            <w:r w:rsidRPr="00F63FD5">
              <w:rPr>
                <w:rFonts w:ascii="Arial" w:hAnsi="Arial" w:cs="Arial"/>
                <w:b/>
                <w:color w:val="auto"/>
                <w:sz w:val="16"/>
              </w:rPr>
              <w:t xml:space="preserve"> (unhedged)</w:t>
            </w:r>
          </w:p>
        </w:tc>
        <w:tc>
          <w:tcPr>
            <w:tcW w:w="851" w:type="dxa"/>
            <w:tcBorders>
              <w:top w:val="nil"/>
              <w:left w:val="nil"/>
              <w:bottom w:val="nil"/>
              <w:right w:val="nil"/>
            </w:tcBorders>
            <w:shd w:val="clear" w:color="auto" w:fill="D9E2F3"/>
            <w:vAlign w:val="center"/>
          </w:tcPr>
          <w:p w14:paraId="083439C0" w14:textId="77777777" w:rsidR="002D297E" w:rsidRPr="00F63FD5" w:rsidRDefault="0035118D" w:rsidP="002D297E">
            <w:pPr>
              <w:jc w:val="center"/>
              <w:rPr>
                <w:rFonts w:ascii="Arial" w:hAnsi="Arial" w:cs="Arial"/>
                <w:sz w:val="16"/>
                <w:szCs w:val="16"/>
              </w:rPr>
            </w:pPr>
            <w:r>
              <w:rPr>
                <w:rFonts w:ascii="Arial" w:hAnsi="Arial" w:cs="Arial"/>
                <w:sz w:val="16"/>
                <w:szCs w:val="16"/>
              </w:rPr>
              <w:t xml:space="preserve"> </w:t>
            </w:r>
            <w:r w:rsidR="00DD741A">
              <w:rPr>
                <w:rFonts w:ascii="Arial" w:hAnsi="Arial" w:cs="Arial"/>
                <w:sz w:val="16"/>
                <w:szCs w:val="16"/>
              </w:rPr>
              <w:t>-1</w:t>
            </w:r>
            <w:r w:rsidR="00B61C50">
              <w:rPr>
                <w:rFonts w:ascii="Arial" w:hAnsi="Arial" w:cs="Arial"/>
                <w:sz w:val="16"/>
                <w:szCs w:val="16"/>
              </w:rPr>
              <w:t>.</w:t>
            </w:r>
            <w:r w:rsidR="00DD741A">
              <w:rPr>
                <w:rFonts w:ascii="Arial" w:hAnsi="Arial" w:cs="Arial"/>
                <w:sz w:val="16"/>
                <w:szCs w:val="16"/>
              </w:rPr>
              <w:t>2</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56982EC0" w14:textId="77777777" w:rsidR="002D297E" w:rsidRPr="00F63FD5" w:rsidRDefault="00DD741A" w:rsidP="002D297E">
            <w:pPr>
              <w:jc w:val="center"/>
              <w:rPr>
                <w:rFonts w:ascii="Arial" w:hAnsi="Arial" w:cs="Arial"/>
                <w:sz w:val="16"/>
                <w:szCs w:val="16"/>
              </w:rPr>
            </w:pPr>
            <w:r>
              <w:rPr>
                <w:rFonts w:ascii="Arial" w:hAnsi="Arial" w:cs="Arial"/>
                <w:sz w:val="16"/>
                <w:szCs w:val="16"/>
              </w:rPr>
              <w:t>-2</w:t>
            </w:r>
            <w:r w:rsidR="00F60529">
              <w:rPr>
                <w:rFonts w:ascii="Arial" w:hAnsi="Arial" w:cs="Arial"/>
                <w:sz w:val="16"/>
                <w:szCs w:val="16"/>
              </w:rPr>
              <w:t>.</w:t>
            </w:r>
            <w:r>
              <w:rPr>
                <w:rFonts w:ascii="Arial" w:hAnsi="Arial" w:cs="Arial"/>
                <w:sz w:val="16"/>
                <w:szCs w:val="16"/>
              </w:rPr>
              <w:t>4</w:t>
            </w:r>
          </w:p>
        </w:tc>
        <w:tc>
          <w:tcPr>
            <w:tcW w:w="885" w:type="dxa"/>
            <w:tcBorders>
              <w:top w:val="nil"/>
              <w:left w:val="nil"/>
              <w:bottom w:val="nil"/>
              <w:right w:val="nil"/>
            </w:tcBorders>
            <w:shd w:val="clear" w:color="auto" w:fill="D9E2F3"/>
            <w:vAlign w:val="center"/>
          </w:tcPr>
          <w:p w14:paraId="274657D7" w14:textId="77777777" w:rsidR="002D297E" w:rsidRPr="00F63FD5" w:rsidRDefault="00134AF0" w:rsidP="002D297E">
            <w:pPr>
              <w:jc w:val="center"/>
              <w:rPr>
                <w:rFonts w:ascii="Arial" w:hAnsi="Arial" w:cs="Arial"/>
                <w:sz w:val="16"/>
                <w:szCs w:val="16"/>
              </w:rPr>
            </w:pPr>
            <w:r>
              <w:rPr>
                <w:rFonts w:ascii="Arial" w:hAnsi="Arial" w:cs="Arial"/>
                <w:sz w:val="16"/>
                <w:szCs w:val="16"/>
              </w:rPr>
              <w:t>1</w:t>
            </w:r>
            <w:r w:rsidR="0035118D">
              <w:rPr>
                <w:rFonts w:ascii="Arial" w:hAnsi="Arial" w:cs="Arial"/>
                <w:sz w:val="16"/>
                <w:szCs w:val="16"/>
              </w:rPr>
              <w:t>2</w:t>
            </w:r>
            <w:r>
              <w:rPr>
                <w:rFonts w:ascii="Arial" w:hAnsi="Arial" w:cs="Arial"/>
                <w:sz w:val="16"/>
                <w:szCs w:val="16"/>
              </w:rPr>
              <w:t>.</w:t>
            </w:r>
            <w:r w:rsidR="00DD741A">
              <w:rPr>
                <w:rFonts w:ascii="Arial" w:hAnsi="Arial" w:cs="Arial"/>
                <w:sz w:val="16"/>
                <w:szCs w:val="16"/>
              </w:rPr>
              <w:t>5</w:t>
            </w:r>
          </w:p>
        </w:tc>
      </w:tr>
      <w:tr w:rsidR="002D297E" w:rsidRPr="00F63FD5" w14:paraId="5F1D98A0" w14:textId="77777777" w:rsidTr="00B0269B">
        <w:trPr>
          <w:trHeight w:val="262"/>
        </w:trPr>
        <w:tc>
          <w:tcPr>
            <w:tcW w:w="2518" w:type="dxa"/>
            <w:tcBorders>
              <w:top w:val="nil"/>
              <w:left w:val="nil"/>
              <w:bottom w:val="nil"/>
              <w:right w:val="nil"/>
            </w:tcBorders>
            <w:vAlign w:val="center"/>
            <w:hideMark/>
          </w:tcPr>
          <w:p w14:paraId="5427A427" w14:textId="77777777" w:rsidR="002D297E" w:rsidRPr="00F63FD5" w:rsidRDefault="000D3C9B" w:rsidP="002D297E">
            <w:pPr>
              <w:pStyle w:val="Table1"/>
              <w:ind w:right="33"/>
              <w:rPr>
                <w:rFonts w:ascii="Arial" w:hAnsi="Arial" w:cs="Arial"/>
                <w:b/>
                <w:color w:val="auto"/>
                <w:sz w:val="16"/>
              </w:rPr>
            </w:pPr>
            <w:r w:rsidRPr="00F63FD5">
              <w:rPr>
                <w:rFonts w:ascii="Arial" w:hAnsi="Arial" w:cs="Arial"/>
                <w:b/>
                <w:color w:val="auto"/>
                <w:sz w:val="16"/>
              </w:rPr>
              <w:t>Global emerging markets (unhedged)</w:t>
            </w:r>
          </w:p>
        </w:tc>
        <w:tc>
          <w:tcPr>
            <w:tcW w:w="851" w:type="dxa"/>
            <w:tcBorders>
              <w:top w:val="nil"/>
              <w:left w:val="nil"/>
              <w:bottom w:val="nil"/>
              <w:right w:val="nil"/>
            </w:tcBorders>
            <w:shd w:val="clear" w:color="auto" w:fill="auto"/>
            <w:vAlign w:val="center"/>
          </w:tcPr>
          <w:p w14:paraId="0FD145A3" w14:textId="77777777" w:rsidR="002D297E" w:rsidRPr="00F63FD5" w:rsidRDefault="00DD741A" w:rsidP="002D297E">
            <w:pPr>
              <w:jc w:val="center"/>
              <w:rPr>
                <w:rFonts w:ascii="Arial" w:hAnsi="Arial" w:cs="Arial"/>
                <w:sz w:val="16"/>
                <w:szCs w:val="16"/>
              </w:rPr>
            </w:pPr>
            <w:r>
              <w:rPr>
                <w:rFonts w:ascii="Arial" w:hAnsi="Arial" w:cs="Arial"/>
                <w:sz w:val="16"/>
                <w:szCs w:val="16"/>
              </w:rPr>
              <w:t>-2</w:t>
            </w:r>
            <w:r w:rsidR="00B61C50">
              <w:rPr>
                <w:rFonts w:ascii="Arial" w:hAnsi="Arial" w:cs="Arial"/>
                <w:sz w:val="16"/>
                <w:szCs w:val="16"/>
              </w:rPr>
              <w:t>.</w:t>
            </w:r>
            <w:r>
              <w:rPr>
                <w:rFonts w:ascii="Arial" w:hAnsi="Arial" w:cs="Arial"/>
                <w:sz w:val="16"/>
                <w:szCs w:val="16"/>
              </w:rPr>
              <w:t>7</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14:paraId="6A692D0B" w14:textId="77777777" w:rsidR="002D297E" w:rsidRPr="00F63FD5" w:rsidRDefault="00DD741A" w:rsidP="002D297E">
            <w:pPr>
              <w:jc w:val="center"/>
              <w:rPr>
                <w:rFonts w:ascii="Arial" w:hAnsi="Arial" w:cs="Arial"/>
                <w:sz w:val="16"/>
                <w:szCs w:val="16"/>
              </w:rPr>
            </w:pPr>
            <w:r>
              <w:rPr>
                <w:rFonts w:ascii="Arial" w:hAnsi="Arial" w:cs="Arial"/>
                <w:sz w:val="16"/>
                <w:szCs w:val="16"/>
              </w:rPr>
              <w:t xml:space="preserve"> 2</w:t>
            </w:r>
            <w:r w:rsidR="00134AF0">
              <w:rPr>
                <w:rFonts w:ascii="Arial" w:hAnsi="Arial" w:cs="Arial"/>
                <w:sz w:val="16"/>
                <w:szCs w:val="16"/>
              </w:rPr>
              <w:t>.</w:t>
            </w:r>
            <w:r>
              <w:rPr>
                <w:rFonts w:ascii="Arial" w:hAnsi="Arial" w:cs="Arial"/>
                <w:sz w:val="16"/>
                <w:szCs w:val="16"/>
              </w:rPr>
              <w:t>7</w:t>
            </w:r>
          </w:p>
        </w:tc>
        <w:tc>
          <w:tcPr>
            <w:tcW w:w="885" w:type="dxa"/>
            <w:tcBorders>
              <w:top w:val="nil"/>
              <w:left w:val="nil"/>
              <w:bottom w:val="nil"/>
              <w:right w:val="nil"/>
            </w:tcBorders>
            <w:shd w:val="clear" w:color="auto" w:fill="auto"/>
            <w:vAlign w:val="center"/>
          </w:tcPr>
          <w:p w14:paraId="5FF1ECFD" w14:textId="77777777" w:rsidR="002D297E" w:rsidRPr="00F63FD5" w:rsidRDefault="00DD741A" w:rsidP="002D297E">
            <w:pPr>
              <w:jc w:val="center"/>
              <w:rPr>
                <w:rFonts w:ascii="Arial" w:hAnsi="Arial" w:cs="Arial"/>
                <w:sz w:val="16"/>
                <w:szCs w:val="16"/>
              </w:rPr>
            </w:pPr>
            <w:r>
              <w:rPr>
                <w:rFonts w:ascii="Arial" w:hAnsi="Arial" w:cs="Arial"/>
                <w:sz w:val="16"/>
                <w:szCs w:val="16"/>
              </w:rPr>
              <w:t>7</w:t>
            </w:r>
            <w:r w:rsidR="00134AF0">
              <w:rPr>
                <w:rFonts w:ascii="Arial" w:hAnsi="Arial" w:cs="Arial"/>
                <w:sz w:val="16"/>
                <w:szCs w:val="16"/>
              </w:rPr>
              <w:t>.</w:t>
            </w:r>
            <w:r>
              <w:rPr>
                <w:rFonts w:ascii="Arial" w:hAnsi="Arial" w:cs="Arial"/>
                <w:sz w:val="16"/>
                <w:szCs w:val="16"/>
              </w:rPr>
              <w:t>2</w:t>
            </w:r>
          </w:p>
        </w:tc>
      </w:tr>
      <w:tr w:rsidR="002D297E" w:rsidRPr="00F63FD5" w14:paraId="0E9AFEB2" w14:textId="77777777" w:rsidTr="00CA2B56">
        <w:trPr>
          <w:trHeight w:val="262"/>
        </w:trPr>
        <w:tc>
          <w:tcPr>
            <w:tcW w:w="2518" w:type="dxa"/>
            <w:tcBorders>
              <w:top w:val="nil"/>
              <w:left w:val="nil"/>
              <w:bottom w:val="nil"/>
              <w:right w:val="nil"/>
            </w:tcBorders>
            <w:shd w:val="clear" w:color="auto" w:fill="D9E2F3"/>
            <w:vAlign w:val="center"/>
            <w:hideMark/>
          </w:tcPr>
          <w:p w14:paraId="0D750F7D"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Global listed property</w:t>
            </w:r>
            <w:r w:rsidR="00F62A5F">
              <w:rPr>
                <w:rFonts w:ascii="Arial" w:hAnsi="Arial" w:cs="Arial"/>
                <w:b/>
                <w:color w:val="auto"/>
                <w:sz w:val="16"/>
              </w:rPr>
              <w:t xml:space="preserve"> (hedged)</w:t>
            </w:r>
          </w:p>
        </w:tc>
        <w:tc>
          <w:tcPr>
            <w:tcW w:w="851" w:type="dxa"/>
            <w:tcBorders>
              <w:top w:val="nil"/>
              <w:left w:val="nil"/>
              <w:bottom w:val="nil"/>
              <w:right w:val="nil"/>
            </w:tcBorders>
            <w:shd w:val="clear" w:color="auto" w:fill="D9E2F3"/>
            <w:vAlign w:val="center"/>
          </w:tcPr>
          <w:p w14:paraId="5EDFEE53" w14:textId="77777777" w:rsidR="002D297E" w:rsidRPr="00F63FD5" w:rsidRDefault="00DD741A" w:rsidP="002D297E">
            <w:pPr>
              <w:jc w:val="center"/>
              <w:rPr>
                <w:rFonts w:ascii="Arial" w:hAnsi="Arial" w:cs="Arial"/>
                <w:sz w:val="16"/>
                <w:szCs w:val="16"/>
              </w:rPr>
            </w:pPr>
            <w:r>
              <w:rPr>
                <w:rFonts w:ascii="Arial" w:hAnsi="Arial" w:cs="Arial"/>
                <w:sz w:val="16"/>
                <w:szCs w:val="16"/>
              </w:rPr>
              <w:t>2</w:t>
            </w:r>
            <w:r w:rsidR="00B0269B">
              <w:rPr>
                <w:rFonts w:ascii="Arial" w:hAnsi="Arial" w:cs="Arial"/>
                <w:sz w:val="16"/>
                <w:szCs w:val="16"/>
              </w:rPr>
              <w:t>.</w:t>
            </w:r>
            <w:r>
              <w:rPr>
                <w:rFonts w:ascii="Arial" w:hAnsi="Arial" w:cs="Arial"/>
                <w:sz w:val="16"/>
                <w:szCs w:val="16"/>
              </w:rPr>
              <w:t>0</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4FC6BDAB" w14:textId="77777777" w:rsidR="002D297E" w:rsidRPr="00F63FD5" w:rsidRDefault="00DD741A" w:rsidP="002D297E">
            <w:pPr>
              <w:jc w:val="center"/>
              <w:rPr>
                <w:rFonts w:ascii="Arial" w:hAnsi="Arial" w:cs="Arial"/>
                <w:sz w:val="16"/>
                <w:szCs w:val="16"/>
              </w:rPr>
            </w:pPr>
            <w:r>
              <w:rPr>
                <w:rFonts w:ascii="Arial" w:hAnsi="Arial" w:cs="Arial"/>
                <w:sz w:val="16"/>
                <w:szCs w:val="16"/>
              </w:rPr>
              <w:t xml:space="preserve"> 8</w:t>
            </w:r>
            <w:r w:rsidR="00B0269B">
              <w:rPr>
                <w:rFonts w:ascii="Arial" w:hAnsi="Arial" w:cs="Arial"/>
                <w:sz w:val="16"/>
                <w:szCs w:val="16"/>
              </w:rPr>
              <w:t>.</w:t>
            </w:r>
            <w:r>
              <w:rPr>
                <w:rFonts w:ascii="Arial" w:hAnsi="Arial" w:cs="Arial"/>
                <w:sz w:val="16"/>
                <w:szCs w:val="16"/>
              </w:rPr>
              <w:t>6</w:t>
            </w:r>
          </w:p>
        </w:tc>
        <w:tc>
          <w:tcPr>
            <w:tcW w:w="885" w:type="dxa"/>
            <w:tcBorders>
              <w:top w:val="nil"/>
              <w:left w:val="nil"/>
              <w:bottom w:val="nil"/>
              <w:right w:val="nil"/>
            </w:tcBorders>
            <w:shd w:val="clear" w:color="auto" w:fill="D9E2F3"/>
            <w:vAlign w:val="center"/>
          </w:tcPr>
          <w:p w14:paraId="166728F5" w14:textId="77777777" w:rsidR="002D297E" w:rsidRPr="00F63FD5" w:rsidRDefault="0035118D" w:rsidP="002D297E">
            <w:pPr>
              <w:jc w:val="center"/>
              <w:rPr>
                <w:rFonts w:ascii="Arial" w:hAnsi="Arial" w:cs="Arial"/>
                <w:sz w:val="16"/>
                <w:szCs w:val="16"/>
              </w:rPr>
            </w:pPr>
            <w:r>
              <w:rPr>
                <w:rFonts w:ascii="Arial" w:hAnsi="Arial" w:cs="Arial"/>
                <w:sz w:val="16"/>
                <w:szCs w:val="16"/>
              </w:rPr>
              <w:t>7</w:t>
            </w:r>
            <w:r w:rsidR="00B0269B">
              <w:rPr>
                <w:rFonts w:ascii="Arial" w:hAnsi="Arial" w:cs="Arial"/>
                <w:sz w:val="16"/>
                <w:szCs w:val="16"/>
              </w:rPr>
              <w:t>.</w:t>
            </w:r>
            <w:r w:rsidR="00DD741A">
              <w:rPr>
                <w:rFonts w:ascii="Arial" w:hAnsi="Arial" w:cs="Arial"/>
                <w:sz w:val="16"/>
                <w:szCs w:val="16"/>
              </w:rPr>
              <w:t>4</w:t>
            </w:r>
          </w:p>
        </w:tc>
      </w:tr>
      <w:tr w:rsidR="002D297E" w:rsidRPr="00F63FD5" w14:paraId="50975EA0" w14:textId="77777777" w:rsidTr="00B0269B">
        <w:trPr>
          <w:trHeight w:val="262"/>
        </w:trPr>
        <w:tc>
          <w:tcPr>
            <w:tcW w:w="2518" w:type="dxa"/>
            <w:tcBorders>
              <w:top w:val="nil"/>
              <w:left w:val="nil"/>
              <w:bottom w:val="nil"/>
              <w:right w:val="nil"/>
            </w:tcBorders>
            <w:shd w:val="clear" w:color="auto" w:fill="auto"/>
            <w:vAlign w:val="center"/>
            <w:hideMark/>
          </w:tcPr>
          <w:p w14:paraId="6B29B546"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Cash</w:t>
            </w:r>
          </w:p>
        </w:tc>
        <w:tc>
          <w:tcPr>
            <w:tcW w:w="851" w:type="dxa"/>
            <w:tcBorders>
              <w:top w:val="nil"/>
              <w:left w:val="nil"/>
              <w:bottom w:val="nil"/>
              <w:right w:val="nil"/>
            </w:tcBorders>
            <w:shd w:val="clear" w:color="auto" w:fill="auto"/>
            <w:vAlign w:val="center"/>
          </w:tcPr>
          <w:p w14:paraId="3A1C2AA0" w14:textId="77777777" w:rsidR="002D297E" w:rsidRPr="00F63FD5" w:rsidRDefault="00DF776A" w:rsidP="002D297E">
            <w:pPr>
              <w:jc w:val="center"/>
              <w:rPr>
                <w:rFonts w:ascii="Arial" w:hAnsi="Arial" w:cs="Arial"/>
                <w:sz w:val="16"/>
                <w:szCs w:val="16"/>
              </w:rPr>
            </w:pPr>
            <w:r>
              <w:rPr>
                <w:rFonts w:ascii="Arial" w:hAnsi="Arial" w:cs="Arial"/>
                <w:sz w:val="16"/>
                <w:szCs w:val="16"/>
              </w:rPr>
              <w:t>0.</w:t>
            </w:r>
            <w:r w:rsidR="0035118D">
              <w:rPr>
                <w:rFonts w:ascii="Arial" w:hAnsi="Arial" w:cs="Arial"/>
                <w:sz w:val="16"/>
                <w:szCs w:val="16"/>
              </w:rPr>
              <w:t>1</w:t>
            </w:r>
          </w:p>
        </w:tc>
        <w:tc>
          <w:tcPr>
            <w:tcW w:w="708" w:type="dxa"/>
            <w:tcBorders>
              <w:top w:val="nil"/>
              <w:left w:val="nil"/>
              <w:bottom w:val="nil"/>
              <w:right w:val="nil"/>
            </w:tcBorders>
            <w:shd w:val="clear" w:color="auto" w:fill="auto"/>
            <w:tcMar>
              <w:top w:w="0" w:type="dxa"/>
              <w:left w:w="28" w:type="dxa"/>
              <w:bottom w:w="0" w:type="dxa"/>
              <w:right w:w="28" w:type="dxa"/>
            </w:tcMar>
            <w:vAlign w:val="center"/>
          </w:tcPr>
          <w:p w14:paraId="659C210D" w14:textId="77777777" w:rsidR="002D297E" w:rsidRPr="00F63FD5" w:rsidRDefault="00DD741A" w:rsidP="002D297E">
            <w:pPr>
              <w:jc w:val="center"/>
              <w:rPr>
                <w:rFonts w:ascii="Arial" w:hAnsi="Arial" w:cs="Arial"/>
                <w:sz w:val="16"/>
                <w:szCs w:val="16"/>
              </w:rPr>
            </w:pPr>
            <w:r>
              <w:rPr>
                <w:rFonts w:ascii="Arial" w:hAnsi="Arial" w:cs="Arial"/>
                <w:sz w:val="16"/>
                <w:szCs w:val="16"/>
              </w:rPr>
              <w:t xml:space="preserve"> 1</w:t>
            </w:r>
            <w:r w:rsidR="00DF776A">
              <w:rPr>
                <w:rFonts w:ascii="Arial" w:hAnsi="Arial" w:cs="Arial"/>
                <w:sz w:val="16"/>
                <w:szCs w:val="16"/>
              </w:rPr>
              <w:t>.</w:t>
            </w:r>
            <w:r>
              <w:rPr>
                <w:rFonts w:ascii="Arial" w:hAnsi="Arial" w:cs="Arial"/>
                <w:sz w:val="16"/>
                <w:szCs w:val="16"/>
              </w:rPr>
              <w:t>8</w:t>
            </w:r>
          </w:p>
        </w:tc>
        <w:tc>
          <w:tcPr>
            <w:tcW w:w="885" w:type="dxa"/>
            <w:tcBorders>
              <w:top w:val="nil"/>
              <w:left w:val="nil"/>
              <w:bottom w:val="nil"/>
              <w:right w:val="nil"/>
            </w:tcBorders>
            <w:shd w:val="clear" w:color="auto" w:fill="auto"/>
            <w:vAlign w:val="center"/>
          </w:tcPr>
          <w:p w14:paraId="31ACE343" w14:textId="77777777" w:rsidR="002D297E" w:rsidRPr="00F63FD5" w:rsidRDefault="00DF776A" w:rsidP="002D297E">
            <w:pPr>
              <w:jc w:val="center"/>
              <w:rPr>
                <w:rFonts w:ascii="Arial" w:hAnsi="Arial" w:cs="Arial"/>
                <w:sz w:val="16"/>
                <w:szCs w:val="16"/>
              </w:rPr>
            </w:pPr>
            <w:r>
              <w:rPr>
                <w:rFonts w:ascii="Arial" w:hAnsi="Arial" w:cs="Arial"/>
                <w:sz w:val="16"/>
                <w:szCs w:val="16"/>
              </w:rPr>
              <w:t>2.</w:t>
            </w:r>
            <w:r w:rsidR="00DD741A">
              <w:rPr>
                <w:rFonts w:ascii="Arial" w:hAnsi="Arial" w:cs="Arial"/>
                <w:sz w:val="16"/>
                <w:szCs w:val="16"/>
              </w:rPr>
              <w:t>0</w:t>
            </w:r>
          </w:p>
        </w:tc>
      </w:tr>
      <w:tr w:rsidR="002D297E" w:rsidRPr="00F63FD5" w14:paraId="4A152C49" w14:textId="77777777" w:rsidTr="00CA2B56">
        <w:trPr>
          <w:trHeight w:val="262"/>
        </w:trPr>
        <w:tc>
          <w:tcPr>
            <w:tcW w:w="2518" w:type="dxa"/>
            <w:tcBorders>
              <w:top w:val="nil"/>
              <w:left w:val="nil"/>
              <w:bottom w:val="nil"/>
              <w:right w:val="nil"/>
            </w:tcBorders>
            <w:shd w:val="clear" w:color="auto" w:fill="D9E2F3"/>
            <w:vAlign w:val="center"/>
            <w:hideMark/>
          </w:tcPr>
          <w:p w14:paraId="5A15FF6F"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Australian fixed income</w:t>
            </w:r>
          </w:p>
        </w:tc>
        <w:tc>
          <w:tcPr>
            <w:tcW w:w="851" w:type="dxa"/>
            <w:tcBorders>
              <w:top w:val="nil"/>
              <w:left w:val="nil"/>
              <w:bottom w:val="nil"/>
              <w:right w:val="nil"/>
            </w:tcBorders>
            <w:shd w:val="clear" w:color="auto" w:fill="D9E2F3"/>
            <w:vAlign w:val="center"/>
          </w:tcPr>
          <w:p w14:paraId="18F520F7" w14:textId="77777777" w:rsidR="002D297E" w:rsidRPr="00F63FD5" w:rsidRDefault="00B61C50" w:rsidP="002D297E">
            <w:pPr>
              <w:jc w:val="center"/>
              <w:rPr>
                <w:rFonts w:ascii="Arial" w:hAnsi="Arial" w:cs="Arial"/>
                <w:sz w:val="16"/>
                <w:szCs w:val="16"/>
              </w:rPr>
            </w:pPr>
            <w:r>
              <w:rPr>
                <w:rFonts w:ascii="Arial" w:hAnsi="Arial" w:cs="Arial"/>
                <w:sz w:val="16"/>
                <w:szCs w:val="16"/>
              </w:rPr>
              <w:t>1.</w:t>
            </w:r>
            <w:r w:rsidR="00DD741A">
              <w:rPr>
                <w:rFonts w:ascii="Arial" w:hAnsi="Arial" w:cs="Arial"/>
                <w:sz w:val="16"/>
                <w:szCs w:val="16"/>
              </w:rPr>
              <w:t>5</w:t>
            </w:r>
          </w:p>
        </w:tc>
        <w:tc>
          <w:tcPr>
            <w:tcW w:w="708" w:type="dxa"/>
            <w:tcBorders>
              <w:top w:val="nil"/>
              <w:left w:val="nil"/>
              <w:bottom w:val="nil"/>
              <w:right w:val="nil"/>
            </w:tcBorders>
            <w:shd w:val="clear" w:color="auto" w:fill="D9E2F3"/>
            <w:tcMar>
              <w:top w:w="0" w:type="dxa"/>
              <w:left w:w="28" w:type="dxa"/>
              <w:bottom w:w="0" w:type="dxa"/>
              <w:right w:w="28" w:type="dxa"/>
            </w:tcMar>
            <w:vAlign w:val="center"/>
          </w:tcPr>
          <w:p w14:paraId="0EFE5CD4" w14:textId="77777777" w:rsidR="002D297E" w:rsidRPr="00F63FD5" w:rsidRDefault="00DD741A" w:rsidP="002D297E">
            <w:pPr>
              <w:jc w:val="center"/>
              <w:rPr>
                <w:rFonts w:ascii="Arial" w:hAnsi="Arial" w:cs="Arial"/>
                <w:sz w:val="16"/>
                <w:szCs w:val="16"/>
              </w:rPr>
            </w:pPr>
            <w:r>
              <w:rPr>
                <w:rFonts w:ascii="Arial" w:hAnsi="Arial" w:cs="Arial"/>
                <w:sz w:val="16"/>
                <w:szCs w:val="16"/>
              </w:rPr>
              <w:t>11</w:t>
            </w:r>
            <w:r w:rsidR="00134AF0">
              <w:rPr>
                <w:rFonts w:ascii="Arial" w:hAnsi="Arial" w:cs="Arial"/>
                <w:sz w:val="16"/>
                <w:szCs w:val="16"/>
              </w:rPr>
              <w:t>.</w:t>
            </w:r>
            <w:r>
              <w:rPr>
                <w:rFonts w:ascii="Arial" w:hAnsi="Arial" w:cs="Arial"/>
                <w:sz w:val="16"/>
                <w:szCs w:val="16"/>
              </w:rPr>
              <w:t>2</w:t>
            </w:r>
          </w:p>
        </w:tc>
        <w:tc>
          <w:tcPr>
            <w:tcW w:w="885" w:type="dxa"/>
            <w:tcBorders>
              <w:top w:val="nil"/>
              <w:left w:val="nil"/>
              <w:bottom w:val="nil"/>
              <w:right w:val="nil"/>
            </w:tcBorders>
            <w:shd w:val="clear" w:color="auto" w:fill="D9E2F3"/>
            <w:vAlign w:val="center"/>
          </w:tcPr>
          <w:p w14:paraId="4F3BF43A" w14:textId="77777777" w:rsidR="002D297E" w:rsidRPr="00F63FD5" w:rsidRDefault="00134AF0" w:rsidP="002D297E">
            <w:pPr>
              <w:jc w:val="center"/>
              <w:rPr>
                <w:rFonts w:ascii="Arial" w:hAnsi="Arial" w:cs="Arial"/>
                <w:sz w:val="16"/>
                <w:szCs w:val="16"/>
              </w:rPr>
            </w:pPr>
            <w:r>
              <w:rPr>
                <w:rFonts w:ascii="Arial" w:hAnsi="Arial" w:cs="Arial"/>
                <w:sz w:val="16"/>
                <w:szCs w:val="16"/>
              </w:rPr>
              <w:t>5.</w:t>
            </w:r>
            <w:r w:rsidR="00DD741A">
              <w:rPr>
                <w:rFonts w:ascii="Arial" w:hAnsi="Arial" w:cs="Arial"/>
                <w:sz w:val="16"/>
                <w:szCs w:val="16"/>
              </w:rPr>
              <w:t>3</w:t>
            </w:r>
          </w:p>
        </w:tc>
      </w:tr>
      <w:tr w:rsidR="002D297E" w:rsidRPr="00F63FD5" w14:paraId="26CE58FD" w14:textId="77777777" w:rsidTr="00B0269B">
        <w:trPr>
          <w:trHeight w:val="372"/>
        </w:trPr>
        <w:tc>
          <w:tcPr>
            <w:tcW w:w="2518" w:type="dxa"/>
            <w:tcBorders>
              <w:top w:val="nil"/>
              <w:left w:val="nil"/>
              <w:bottom w:val="single" w:sz="4" w:space="0" w:color="BFBFBF" w:themeColor="background1" w:themeShade="BF"/>
              <w:right w:val="nil"/>
            </w:tcBorders>
            <w:vAlign w:val="center"/>
            <w:hideMark/>
          </w:tcPr>
          <w:p w14:paraId="2950D6D8" w14:textId="77777777" w:rsidR="002D297E" w:rsidRPr="00F63FD5" w:rsidRDefault="002D297E" w:rsidP="002D297E">
            <w:pPr>
              <w:pStyle w:val="Table1"/>
              <w:spacing w:after="0"/>
              <w:ind w:right="33"/>
              <w:rPr>
                <w:rFonts w:ascii="Arial" w:hAnsi="Arial" w:cs="Arial"/>
                <w:b/>
                <w:color w:val="auto"/>
                <w:sz w:val="16"/>
              </w:rPr>
            </w:pPr>
            <w:r w:rsidRPr="00F63FD5">
              <w:rPr>
                <w:rFonts w:ascii="Arial" w:hAnsi="Arial" w:cs="Arial"/>
                <w:b/>
                <w:color w:val="auto"/>
                <w:sz w:val="16"/>
              </w:rPr>
              <w:t>International fixed income</w:t>
            </w:r>
          </w:p>
        </w:tc>
        <w:tc>
          <w:tcPr>
            <w:tcW w:w="851" w:type="dxa"/>
            <w:tcBorders>
              <w:top w:val="nil"/>
              <w:left w:val="nil"/>
              <w:bottom w:val="single" w:sz="4" w:space="0" w:color="BFBFBF" w:themeColor="background1" w:themeShade="BF"/>
              <w:right w:val="nil"/>
            </w:tcBorders>
            <w:vAlign w:val="center"/>
          </w:tcPr>
          <w:p w14:paraId="1D4EECA5" w14:textId="77777777" w:rsidR="002D297E" w:rsidRPr="00F63FD5" w:rsidRDefault="00DD741A" w:rsidP="002D297E">
            <w:pPr>
              <w:jc w:val="center"/>
              <w:rPr>
                <w:rFonts w:ascii="Arial" w:hAnsi="Arial" w:cs="Arial"/>
                <w:sz w:val="16"/>
                <w:szCs w:val="16"/>
              </w:rPr>
            </w:pPr>
            <w:r>
              <w:rPr>
                <w:rFonts w:ascii="Arial" w:hAnsi="Arial" w:cs="Arial"/>
                <w:sz w:val="16"/>
                <w:szCs w:val="16"/>
              </w:rPr>
              <w:t>2</w:t>
            </w:r>
            <w:r w:rsidR="00B61C50">
              <w:rPr>
                <w:rFonts w:ascii="Arial" w:hAnsi="Arial" w:cs="Arial"/>
                <w:sz w:val="16"/>
                <w:szCs w:val="16"/>
              </w:rPr>
              <w:t>.</w:t>
            </w:r>
            <w:r>
              <w:rPr>
                <w:rFonts w:ascii="Arial" w:hAnsi="Arial" w:cs="Arial"/>
                <w:sz w:val="16"/>
                <w:szCs w:val="16"/>
              </w:rPr>
              <w:t>2</w:t>
            </w:r>
          </w:p>
        </w:tc>
        <w:tc>
          <w:tcPr>
            <w:tcW w:w="708" w:type="dxa"/>
            <w:tcBorders>
              <w:top w:val="nil"/>
              <w:left w:val="nil"/>
              <w:bottom w:val="single" w:sz="4" w:space="0" w:color="BFBFBF" w:themeColor="background1" w:themeShade="BF"/>
              <w:right w:val="nil"/>
            </w:tcBorders>
            <w:tcMar>
              <w:top w:w="0" w:type="dxa"/>
              <w:left w:w="28" w:type="dxa"/>
              <w:bottom w:w="0" w:type="dxa"/>
              <w:right w:w="28" w:type="dxa"/>
            </w:tcMar>
            <w:vAlign w:val="center"/>
          </w:tcPr>
          <w:p w14:paraId="77D9370D" w14:textId="77777777" w:rsidR="002D297E" w:rsidRPr="00F63FD5" w:rsidRDefault="00DD741A" w:rsidP="002D297E">
            <w:pPr>
              <w:jc w:val="center"/>
              <w:rPr>
                <w:rFonts w:ascii="Arial" w:hAnsi="Arial" w:cs="Arial"/>
                <w:sz w:val="16"/>
                <w:szCs w:val="16"/>
              </w:rPr>
            </w:pPr>
            <w:r>
              <w:rPr>
                <w:rFonts w:ascii="Arial" w:hAnsi="Arial" w:cs="Arial"/>
                <w:sz w:val="16"/>
                <w:szCs w:val="16"/>
              </w:rPr>
              <w:t>10</w:t>
            </w:r>
            <w:r w:rsidR="00DF776A">
              <w:rPr>
                <w:rFonts w:ascii="Arial" w:hAnsi="Arial" w:cs="Arial"/>
                <w:sz w:val="16"/>
                <w:szCs w:val="16"/>
              </w:rPr>
              <w:t>.</w:t>
            </w:r>
            <w:r>
              <w:rPr>
                <w:rFonts w:ascii="Arial" w:hAnsi="Arial" w:cs="Arial"/>
                <w:sz w:val="16"/>
                <w:szCs w:val="16"/>
              </w:rPr>
              <w:t>0</w:t>
            </w:r>
          </w:p>
        </w:tc>
        <w:tc>
          <w:tcPr>
            <w:tcW w:w="885" w:type="dxa"/>
            <w:tcBorders>
              <w:top w:val="nil"/>
              <w:left w:val="nil"/>
              <w:bottom w:val="single" w:sz="4" w:space="0" w:color="BFBFBF" w:themeColor="background1" w:themeShade="BF"/>
              <w:right w:val="nil"/>
            </w:tcBorders>
            <w:vAlign w:val="center"/>
          </w:tcPr>
          <w:p w14:paraId="6321E801" w14:textId="77777777" w:rsidR="002D297E" w:rsidRPr="00F63FD5" w:rsidRDefault="00DD741A" w:rsidP="002D297E">
            <w:pPr>
              <w:jc w:val="center"/>
              <w:rPr>
                <w:rFonts w:ascii="Arial" w:hAnsi="Arial" w:cs="Arial"/>
                <w:sz w:val="16"/>
                <w:szCs w:val="16"/>
              </w:rPr>
            </w:pPr>
            <w:r>
              <w:rPr>
                <w:rFonts w:ascii="Arial" w:hAnsi="Arial" w:cs="Arial"/>
                <w:sz w:val="16"/>
                <w:szCs w:val="16"/>
              </w:rPr>
              <w:t>5</w:t>
            </w:r>
            <w:r w:rsidR="00DF776A">
              <w:rPr>
                <w:rFonts w:ascii="Arial" w:hAnsi="Arial" w:cs="Arial"/>
                <w:sz w:val="16"/>
                <w:szCs w:val="16"/>
              </w:rPr>
              <w:t>.</w:t>
            </w:r>
            <w:r>
              <w:rPr>
                <w:rFonts w:ascii="Arial" w:hAnsi="Arial" w:cs="Arial"/>
                <w:sz w:val="16"/>
                <w:szCs w:val="16"/>
              </w:rPr>
              <w:t>1</w:t>
            </w:r>
          </w:p>
        </w:tc>
      </w:tr>
      <w:tr w:rsidR="002D297E" w:rsidRPr="00F63FD5" w14:paraId="163F720A" w14:textId="77777777" w:rsidTr="00B0269B">
        <w:trPr>
          <w:trHeight w:val="262"/>
        </w:trPr>
        <w:tc>
          <w:tcPr>
            <w:tcW w:w="4962" w:type="dxa"/>
            <w:gridSpan w:val="4"/>
            <w:tcBorders>
              <w:top w:val="single" w:sz="4" w:space="0" w:color="BFBFBF" w:themeColor="background1" w:themeShade="BF"/>
              <w:left w:val="nil"/>
              <w:bottom w:val="nil"/>
              <w:right w:val="nil"/>
            </w:tcBorders>
            <w:vAlign w:val="center"/>
          </w:tcPr>
          <w:p w14:paraId="5538A798" w14:textId="77777777" w:rsidR="0035118D" w:rsidRPr="004F6BFA" w:rsidRDefault="0035118D" w:rsidP="00A7531F">
            <w:pPr>
              <w:pStyle w:val="NoSpacing"/>
              <w:rPr>
                <w:sz w:val="13"/>
                <w:szCs w:val="13"/>
              </w:rPr>
            </w:pPr>
            <w:r w:rsidRPr="004F6BFA">
              <w:rPr>
                <w:b/>
                <w:sz w:val="13"/>
                <w:szCs w:val="13"/>
              </w:rPr>
              <w:t>Source</w:t>
            </w:r>
            <w:r w:rsidRPr="004F6BFA">
              <w:rPr>
                <w:sz w:val="13"/>
                <w:szCs w:val="13"/>
              </w:rPr>
              <w:t>: Bloomberg &amp; IOOF, 3</w:t>
            </w:r>
            <w:r w:rsidR="004F6BFA">
              <w:rPr>
                <w:sz w:val="13"/>
                <w:szCs w:val="13"/>
              </w:rPr>
              <w:t>1</w:t>
            </w:r>
            <w:r w:rsidRPr="004F6BFA">
              <w:rPr>
                <w:sz w:val="13"/>
                <w:szCs w:val="13"/>
              </w:rPr>
              <w:t xml:space="preserve"> </w:t>
            </w:r>
            <w:r w:rsidR="004F6BFA">
              <w:rPr>
                <w:sz w:val="13"/>
                <w:szCs w:val="13"/>
              </w:rPr>
              <w:t>August</w:t>
            </w:r>
            <w:r w:rsidRPr="004F6BFA">
              <w:rPr>
                <w:sz w:val="13"/>
                <w:szCs w:val="13"/>
              </w:rPr>
              <w:t xml:space="preserve"> 2019</w:t>
            </w:r>
            <w:r w:rsidR="004F6BFA">
              <w:rPr>
                <w:sz w:val="13"/>
                <w:szCs w:val="13"/>
              </w:rPr>
              <w:t xml:space="preserve"> </w:t>
            </w:r>
            <w:r w:rsidRPr="004F6BFA">
              <w:rPr>
                <w:b/>
                <w:sz w:val="13"/>
                <w:szCs w:val="13"/>
              </w:rPr>
              <w:t>Indices used</w:t>
            </w:r>
            <w:r w:rsidRPr="004F6BFA">
              <w:rPr>
                <w:sz w:val="13"/>
                <w:szCs w:val="13"/>
              </w:rPr>
              <w:t xml:space="preserve">: Australian Shares: S&amp;P/ASX 200 Accumulation Index, Global shares (hedged): MSCI World ex Australia Net Total Return (in AUD), Global shares (unhedged): MSCI World ex Australia Hedged AUD Net Total Return Index; Global small companies (unhedged): MSCI World Small Cap Net Total Return USD Index (in AUD); Global emerging markets (unhedged): MSCI Emerging Markets EM Net Total Return AUD Index; Global listed property (hedged): FTSE EPRA/NAREIT Developed Index Hedged in AUD Net Total Return; Cash: Bloomberg </w:t>
            </w:r>
            <w:proofErr w:type="spellStart"/>
            <w:r w:rsidRPr="004F6BFA">
              <w:rPr>
                <w:sz w:val="13"/>
                <w:szCs w:val="13"/>
              </w:rPr>
              <w:t>AusBond</w:t>
            </w:r>
            <w:proofErr w:type="spellEnd"/>
            <w:r w:rsidRPr="004F6BFA">
              <w:rPr>
                <w:sz w:val="13"/>
                <w:szCs w:val="13"/>
              </w:rPr>
              <w:t xml:space="preserve"> Bank Bill Index; Australian fixed income: Bloomberg </w:t>
            </w:r>
            <w:proofErr w:type="spellStart"/>
            <w:r w:rsidRPr="004F6BFA">
              <w:rPr>
                <w:sz w:val="13"/>
                <w:szCs w:val="13"/>
              </w:rPr>
              <w:t>AusBond</w:t>
            </w:r>
            <w:proofErr w:type="spellEnd"/>
            <w:r w:rsidRPr="004F6BFA">
              <w:rPr>
                <w:sz w:val="13"/>
                <w:szCs w:val="13"/>
              </w:rPr>
              <w:t xml:space="preserve"> Composite 0+ </w:t>
            </w:r>
            <w:proofErr w:type="spellStart"/>
            <w:r w:rsidRPr="004F6BFA">
              <w:rPr>
                <w:sz w:val="13"/>
                <w:szCs w:val="13"/>
              </w:rPr>
              <w:t>Yr</w:t>
            </w:r>
            <w:proofErr w:type="spellEnd"/>
            <w:r w:rsidRPr="004F6BFA">
              <w:rPr>
                <w:sz w:val="13"/>
                <w:szCs w:val="13"/>
              </w:rPr>
              <w:t xml:space="preserve"> Index; International fixed income: Bloomberg Barclays Global Aggregate Total Return Index Value Hedged AUD</w:t>
            </w:r>
          </w:p>
          <w:p w14:paraId="79824935" w14:textId="77777777" w:rsidR="002D297E" w:rsidRPr="00A97D63" w:rsidRDefault="0035118D" w:rsidP="00A7531F">
            <w:pPr>
              <w:pStyle w:val="NoSpacing"/>
              <w:rPr>
                <w:sz w:val="8"/>
                <w:szCs w:val="8"/>
              </w:rPr>
            </w:pPr>
            <w:r w:rsidRPr="004F6BFA">
              <w:rPr>
                <w:b/>
                <w:sz w:val="13"/>
                <w:szCs w:val="13"/>
              </w:rPr>
              <w:t>Please note</w:t>
            </w:r>
            <w:r w:rsidRPr="004F6BFA">
              <w:rPr>
                <w:sz w:val="13"/>
                <w:szCs w:val="13"/>
              </w:rPr>
              <w:t>: Past performance is not indicative of future performance.</w:t>
            </w:r>
            <w:r w:rsidR="00A97D63">
              <w:rPr>
                <w:sz w:val="13"/>
                <w:szCs w:val="13"/>
              </w:rPr>
              <w:br/>
            </w:r>
          </w:p>
        </w:tc>
      </w:tr>
    </w:tbl>
    <w:p w14:paraId="1B069FCF" w14:textId="77777777" w:rsidR="004F1630" w:rsidRPr="008E1904" w:rsidRDefault="004F1630" w:rsidP="00DF776A">
      <w:pPr>
        <w:pStyle w:val="Subheading1"/>
        <w:spacing w:before="0" w:after="0" w:line="240" w:lineRule="auto"/>
        <w:ind w:left="142"/>
        <w:rPr>
          <w:rFonts w:ascii="Arial" w:hAnsi="Arial" w:cs="Arial"/>
          <w:color w:val="C9D712"/>
          <w:sz w:val="16"/>
          <w:szCs w:val="16"/>
        </w:rPr>
      </w:pPr>
      <w:r w:rsidRPr="008E1904">
        <w:rPr>
          <w:rFonts w:ascii="Arial" w:hAnsi="Arial" w:cs="Arial"/>
          <w:color w:val="C9D712"/>
          <w:sz w:val="28"/>
          <w:szCs w:val="28"/>
        </w:rPr>
        <w:t>Currency</w:t>
      </w:r>
      <w:r w:rsidR="00F62A5F">
        <w:rPr>
          <w:rFonts w:ascii="Arial" w:hAnsi="Arial" w:cs="Arial"/>
          <w:color w:val="C9D712"/>
          <w:sz w:val="28"/>
          <w:szCs w:val="28"/>
        </w:rPr>
        <w:t xml:space="preserve"> markets</w:t>
      </w:r>
    </w:p>
    <w:tbl>
      <w:tblPr>
        <w:tblpPr w:leftFromText="180" w:rightFromText="180" w:vertAnchor="text" w:horzAnchor="margin" w:tblpXSpec="right" w:tblpY="150"/>
        <w:tblW w:w="4928" w:type="dxa"/>
        <w:tblBorders>
          <w:top w:val="single" w:sz="4" w:space="0" w:color="5D4F4B"/>
          <w:bottom w:val="single" w:sz="4" w:space="0" w:color="5D4F4B"/>
          <w:insideH w:val="single" w:sz="4" w:space="0" w:color="5D4F4B"/>
        </w:tblBorders>
        <w:tblLayout w:type="fixed"/>
        <w:tblLook w:val="00A0" w:firstRow="1" w:lastRow="0" w:firstColumn="1" w:lastColumn="0" w:noHBand="0" w:noVBand="0"/>
      </w:tblPr>
      <w:tblGrid>
        <w:gridCol w:w="2376"/>
        <w:gridCol w:w="850"/>
        <w:gridCol w:w="851"/>
        <w:gridCol w:w="851"/>
      </w:tblGrid>
      <w:tr w:rsidR="002D297E" w:rsidRPr="00F63FD5" w14:paraId="5145608F" w14:textId="77777777" w:rsidTr="002D297E">
        <w:trPr>
          <w:trHeight w:val="310"/>
          <w:tblHeader/>
        </w:trPr>
        <w:tc>
          <w:tcPr>
            <w:tcW w:w="2376" w:type="dxa"/>
            <w:tcBorders>
              <w:top w:val="single" w:sz="4" w:space="0" w:color="5D4F4B"/>
              <w:left w:val="nil"/>
              <w:bottom w:val="nil"/>
              <w:right w:val="nil"/>
            </w:tcBorders>
            <w:shd w:val="clear" w:color="auto" w:fill="004165"/>
            <w:vAlign w:val="center"/>
            <w:hideMark/>
          </w:tcPr>
          <w:p w14:paraId="682D8830" w14:textId="77777777" w:rsidR="002D297E" w:rsidRPr="00F63FD5" w:rsidRDefault="002D297E" w:rsidP="002D297E">
            <w:pPr>
              <w:pStyle w:val="TableHeading"/>
              <w:spacing w:before="0" w:after="0"/>
              <w:rPr>
                <w:rFonts w:ascii="Arial" w:hAnsi="Arial" w:cs="Arial"/>
              </w:rPr>
            </w:pPr>
            <w:r w:rsidRPr="00F63FD5">
              <w:rPr>
                <w:rFonts w:ascii="Arial" w:hAnsi="Arial" w:cs="Arial"/>
              </w:rPr>
              <w:t>Exchange rates</w:t>
            </w:r>
          </w:p>
        </w:tc>
        <w:tc>
          <w:tcPr>
            <w:tcW w:w="850" w:type="dxa"/>
            <w:tcBorders>
              <w:top w:val="single" w:sz="4" w:space="0" w:color="5D4F4B"/>
              <w:left w:val="nil"/>
              <w:bottom w:val="nil"/>
              <w:right w:val="nil"/>
            </w:tcBorders>
            <w:shd w:val="clear" w:color="auto" w:fill="004165"/>
            <w:vAlign w:val="center"/>
            <w:hideMark/>
          </w:tcPr>
          <w:p w14:paraId="35CE77EC" w14:textId="77777777" w:rsidR="002D297E" w:rsidRPr="00F63FD5" w:rsidRDefault="002D297E" w:rsidP="002D297E">
            <w:pPr>
              <w:pStyle w:val="TableHeading"/>
              <w:spacing w:before="0" w:after="0"/>
              <w:jc w:val="center"/>
              <w:rPr>
                <w:rFonts w:ascii="Arial" w:hAnsi="Arial" w:cs="Arial"/>
              </w:rPr>
            </w:pPr>
            <w:r w:rsidRPr="00F63FD5">
              <w:rPr>
                <w:rFonts w:ascii="Arial" w:hAnsi="Arial" w:cs="Arial"/>
              </w:rPr>
              <w:t xml:space="preserve">At close on </w:t>
            </w:r>
            <w:r w:rsidR="00E1305F">
              <w:rPr>
                <w:rFonts w:ascii="Arial" w:hAnsi="Arial" w:cs="Arial"/>
              </w:rPr>
              <w:t>3</w:t>
            </w:r>
            <w:r w:rsidR="00DD741A">
              <w:rPr>
                <w:rFonts w:ascii="Arial" w:hAnsi="Arial" w:cs="Arial"/>
              </w:rPr>
              <w:t>1</w:t>
            </w:r>
            <w:r w:rsidR="00E1305F">
              <w:rPr>
                <w:rFonts w:ascii="Arial" w:hAnsi="Arial" w:cs="Arial"/>
              </w:rPr>
              <w:t>/</w:t>
            </w:r>
            <w:r w:rsidR="00DD741A">
              <w:rPr>
                <w:rFonts w:ascii="Arial" w:hAnsi="Arial" w:cs="Arial"/>
              </w:rPr>
              <w:t>8</w:t>
            </w:r>
          </w:p>
        </w:tc>
        <w:tc>
          <w:tcPr>
            <w:tcW w:w="851" w:type="dxa"/>
            <w:tcBorders>
              <w:top w:val="single" w:sz="4" w:space="0" w:color="5D4F4B"/>
              <w:left w:val="nil"/>
              <w:bottom w:val="nil"/>
              <w:right w:val="nil"/>
            </w:tcBorders>
            <w:shd w:val="clear" w:color="auto" w:fill="004165"/>
            <w:tcMar>
              <w:top w:w="0" w:type="dxa"/>
              <w:left w:w="28" w:type="dxa"/>
              <w:bottom w:w="0" w:type="dxa"/>
              <w:right w:w="28" w:type="dxa"/>
            </w:tcMar>
            <w:vAlign w:val="center"/>
            <w:hideMark/>
          </w:tcPr>
          <w:p w14:paraId="4CDB7472" w14:textId="77777777" w:rsidR="002D297E" w:rsidRPr="00F63FD5" w:rsidRDefault="00F62A5F" w:rsidP="00F62A5F">
            <w:pPr>
              <w:pStyle w:val="TableHeading"/>
              <w:spacing w:before="0" w:after="0"/>
              <w:jc w:val="center"/>
              <w:rPr>
                <w:rFonts w:ascii="Arial" w:hAnsi="Arial" w:cs="Arial"/>
              </w:rPr>
            </w:pPr>
            <w:r>
              <w:rPr>
                <w:rFonts w:ascii="Arial" w:hAnsi="Arial" w:cs="Arial"/>
              </w:rPr>
              <w:t xml:space="preserve">1 </w:t>
            </w:r>
            <w:r w:rsidR="002D297E" w:rsidRPr="00F63FD5">
              <w:rPr>
                <w:rFonts w:ascii="Arial" w:hAnsi="Arial" w:cs="Arial"/>
              </w:rPr>
              <w:t>month</w:t>
            </w:r>
            <w:r>
              <w:rPr>
                <w:rFonts w:ascii="Arial" w:hAnsi="Arial" w:cs="Arial"/>
              </w:rPr>
              <w:br/>
              <w:t>change</w:t>
            </w:r>
            <w:r>
              <w:rPr>
                <w:rFonts w:ascii="Arial" w:hAnsi="Arial" w:cs="Arial"/>
              </w:rPr>
              <w:br/>
              <w:t>%</w:t>
            </w:r>
          </w:p>
        </w:tc>
        <w:tc>
          <w:tcPr>
            <w:tcW w:w="851" w:type="dxa"/>
            <w:tcBorders>
              <w:top w:val="single" w:sz="4" w:space="0" w:color="5D4F4B"/>
              <w:left w:val="nil"/>
              <w:bottom w:val="nil"/>
              <w:right w:val="nil"/>
            </w:tcBorders>
            <w:shd w:val="clear" w:color="auto" w:fill="004165"/>
            <w:vAlign w:val="center"/>
          </w:tcPr>
          <w:p w14:paraId="1A0F1FD8" w14:textId="77777777" w:rsidR="002D297E" w:rsidRPr="00F63FD5" w:rsidRDefault="00F62A5F" w:rsidP="002D297E">
            <w:pPr>
              <w:pStyle w:val="TableHeading"/>
              <w:spacing w:before="0" w:after="0"/>
              <w:jc w:val="center"/>
              <w:rPr>
                <w:rFonts w:ascii="Arial" w:hAnsi="Arial" w:cs="Arial"/>
              </w:rPr>
            </w:pPr>
            <w:r>
              <w:rPr>
                <w:rFonts w:ascii="Arial" w:hAnsi="Arial" w:cs="Arial"/>
              </w:rPr>
              <w:t>1 year</w:t>
            </w:r>
            <w:r>
              <w:rPr>
                <w:rFonts w:ascii="Arial" w:hAnsi="Arial" w:cs="Arial"/>
              </w:rPr>
              <w:br/>
              <w:t xml:space="preserve">change </w:t>
            </w:r>
            <w:r>
              <w:rPr>
                <w:rFonts w:ascii="Arial" w:hAnsi="Arial" w:cs="Arial"/>
              </w:rPr>
              <w:br/>
              <w:t>%</w:t>
            </w:r>
          </w:p>
        </w:tc>
      </w:tr>
      <w:tr w:rsidR="002D297E" w:rsidRPr="00F63FD5" w14:paraId="0953D3B2" w14:textId="77777777" w:rsidTr="002D297E">
        <w:trPr>
          <w:trHeight w:val="262"/>
        </w:trPr>
        <w:tc>
          <w:tcPr>
            <w:tcW w:w="2376" w:type="dxa"/>
            <w:tcBorders>
              <w:top w:val="nil"/>
              <w:left w:val="nil"/>
              <w:bottom w:val="nil"/>
              <w:right w:val="nil"/>
            </w:tcBorders>
            <w:shd w:val="clear" w:color="auto" w:fill="FFFFFF" w:themeFill="background1"/>
            <w:vAlign w:val="center"/>
            <w:hideMark/>
          </w:tcPr>
          <w:p w14:paraId="6D96258A"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USD</w:t>
            </w:r>
            <w:r w:rsidR="00F62A5F">
              <w:rPr>
                <w:rFonts w:ascii="Arial" w:hAnsi="Arial" w:cs="Arial"/>
                <w:b/>
                <w:color w:val="auto"/>
                <w:sz w:val="16"/>
              </w:rPr>
              <w:t>/AUD</w:t>
            </w:r>
          </w:p>
        </w:tc>
        <w:tc>
          <w:tcPr>
            <w:tcW w:w="850" w:type="dxa"/>
            <w:tcBorders>
              <w:top w:val="nil"/>
              <w:left w:val="nil"/>
              <w:bottom w:val="nil"/>
              <w:right w:val="nil"/>
            </w:tcBorders>
            <w:shd w:val="clear" w:color="auto" w:fill="FFFFFF" w:themeFill="background1"/>
            <w:vAlign w:val="center"/>
          </w:tcPr>
          <w:p w14:paraId="342B05EF" w14:textId="77777777" w:rsidR="002D297E" w:rsidRPr="00404022" w:rsidRDefault="00134AF0" w:rsidP="002D297E">
            <w:pPr>
              <w:pStyle w:val="Table1"/>
              <w:tabs>
                <w:tab w:val="left" w:pos="1168"/>
              </w:tabs>
              <w:ind w:right="-13"/>
              <w:jc w:val="center"/>
              <w:rPr>
                <w:rFonts w:ascii="Arial" w:hAnsi="Arial" w:cs="Arial"/>
                <w:color w:val="auto"/>
                <w:sz w:val="16"/>
              </w:rPr>
            </w:pPr>
            <w:r w:rsidRPr="00404022">
              <w:rPr>
                <w:rFonts w:ascii="Arial" w:hAnsi="Arial" w:cs="Arial"/>
                <w:color w:val="auto"/>
                <w:sz w:val="16"/>
              </w:rPr>
              <w:t>0.</w:t>
            </w:r>
            <w:r w:rsidR="00DD741A" w:rsidRPr="00404022">
              <w:rPr>
                <w:rFonts w:ascii="Arial" w:hAnsi="Arial" w:cs="Arial"/>
                <w:color w:val="auto"/>
                <w:sz w:val="16"/>
              </w:rPr>
              <w:t>67</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718F83C1" w14:textId="77777777" w:rsidR="002D297E" w:rsidRPr="0035118D" w:rsidRDefault="00DD741A" w:rsidP="002D297E">
            <w:pPr>
              <w:pStyle w:val="Table1"/>
              <w:tabs>
                <w:tab w:val="left" w:pos="823"/>
              </w:tabs>
              <w:ind w:right="114"/>
              <w:jc w:val="center"/>
              <w:rPr>
                <w:rFonts w:ascii="Arial" w:hAnsi="Arial" w:cs="Arial"/>
                <w:color w:val="auto"/>
                <w:sz w:val="16"/>
              </w:rPr>
            </w:pPr>
            <w:r>
              <w:rPr>
                <w:rFonts w:ascii="Arial" w:hAnsi="Arial" w:cs="Arial"/>
                <w:color w:val="auto"/>
                <w:sz w:val="16"/>
              </w:rPr>
              <w:t>-</w:t>
            </w:r>
            <w:r w:rsidR="0035118D" w:rsidRPr="0035118D">
              <w:rPr>
                <w:rFonts w:ascii="Arial" w:hAnsi="Arial" w:cs="Arial"/>
                <w:color w:val="auto"/>
                <w:sz w:val="16"/>
              </w:rPr>
              <w:t>1.</w:t>
            </w:r>
            <w:r>
              <w:rPr>
                <w:rFonts w:ascii="Arial" w:hAnsi="Arial" w:cs="Arial"/>
                <w:color w:val="auto"/>
                <w:sz w:val="16"/>
              </w:rPr>
              <w:t>6</w:t>
            </w:r>
          </w:p>
        </w:tc>
        <w:tc>
          <w:tcPr>
            <w:tcW w:w="851" w:type="dxa"/>
            <w:tcBorders>
              <w:top w:val="nil"/>
              <w:left w:val="nil"/>
              <w:bottom w:val="nil"/>
              <w:right w:val="nil"/>
            </w:tcBorders>
            <w:shd w:val="clear" w:color="auto" w:fill="FFFFFF" w:themeFill="background1"/>
            <w:vAlign w:val="center"/>
          </w:tcPr>
          <w:p w14:paraId="29BE6C77" w14:textId="77777777" w:rsidR="002D297E" w:rsidRPr="00F63FD5" w:rsidRDefault="00134AF0" w:rsidP="002D297E">
            <w:pPr>
              <w:pStyle w:val="Table1"/>
              <w:tabs>
                <w:tab w:val="left" w:pos="823"/>
              </w:tabs>
              <w:ind w:right="114"/>
              <w:jc w:val="center"/>
              <w:rPr>
                <w:rFonts w:ascii="Arial" w:hAnsi="Arial" w:cs="Arial"/>
                <w:b/>
                <w:color w:val="auto"/>
                <w:sz w:val="16"/>
              </w:rPr>
            </w:pPr>
            <w:r>
              <w:rPr>
                <w:rFonts w:ascii="Arial" w:hAnsi="Arial" w:cs="Arial"/>
                <w:b/>
                <w:color w:val="auto"/>
                <w:sz w:val="16"/>
              </w:rPr>
              <w:t>-</w:t>
            </w:r>
            <w:r w:rsidR="00DD741A">
              <w:rPr>
                <w:rFonts w:ascii="Arial" w:hAnsi="Arial" w:cs="Arial"/>
                <w:b/>
                <w:color w:val="auto"/>
                <w:sz w:val="16"/>
              </w:rPr>
              <w:t>6</w:t>
            </w:r>
            <w:r>
              <w:rPr>
                <w:rFonts w:ascii="Arial" w:hAnsi="Arial" w:cs="Arial"/>
                <w:b/>
                <w:color w:val="auto"/>
                <w:sz w:val="16"/>
              </w:rPr>
              <w:t>.</w:t>
            </w:r>
            <w:r w:rsidR="00DD741A">
              <w:rPr>
                <w:rFonts w:ascii="Arial" w:hAnsi="Arial" w:cs="Arial"/>
                <w:b/>
                <w:color w:val="auto"/>
                <w:sz w:val="16"/>
              </w:rPr>
              <w:t>3</w:t>
            </w:r>
          </w:p>
        </w:tc>
      </w:tr>
      <w:tr w:rsidR="002D297E" w:rsidRPr="00F63FD5" w14:paraId="2A918B9F" w14:textId="77777777" w:rsidTr="00CA2B56">
        <w:trPr>
          <w:trHeight w:val="262"/>
        </w:trPr>
        <w:tc>
          <w:tcPr>
            <w:tcW w:w="2376" w:type="dxa"/>
            <w:tcBorders>
              <w:top w:val="nil"/>
              <w:left w:val="nil"/>
              <w:bottom w:val="nil"/>
              <w:right w:val="nil"/>
            </w:tcBorders>
            <w:shd w:val="clear" w:color="auto" w:fill="D9E2F3"/>
            <w:vAlign w:val="center"/>
            <w:hideMark/>
          </w:tcPr>
          <w:p w14:paraId="6FED0B8F" w14:textId="77777777" w:rsidR="002D297E" w:rsidRPr="00F63FD5" w:rsidRDefault="00F62A5F" w:rsidP="002D297E">
            <w:pPr>
              <w:pStyle w:val="Table1"/>
              <w:ind w:right="33"/>
              <w:rPr>
                <w:rFonts w:ascii="Arial" w:hAnsi="Arial" w:cs="Arial"/>
                <w:b/>
                <w:color w:val="auto"/>
                <w:sz w:val="16"/>
              </w:rPr>
            </w:pPr>
            <w:r>
              <w:rPr>
                <w:rFonts w:ascii="Arial" w:hAnsi="Arial" w:cs="Arial"/>
                <w:b/>
                <w:color w:val="auto"/>
                <w:sz w:val="16"/>
              </w:rPr>
              <w:t>E</w:t>
            </w:r>
            <w:r w:rsidR="002D297E" w:rsidRPr="00F63FD5">
              <w:rPr>
                <w:rFonts w:ascii="Arial" w:hAnsi="Arial" w:cs="Arial"/>
                <w:b/>
                <w:color w:val="auto"/>
                <w:sz w:val="16"/>
              </w:rPr>
              <w:t>uro</w:t>
            </w:r>
            <w:r>
              <w:rPr>
                <w:rFonts w:ascii="Arial" w:hAnsi="Arial" w:cs="Arial"/>
                <w:b/>
                <w:color w:val="auto"/>
                <w:sz w:val="16"/>
              </w:rPr>
              <w:t>/AUD</w:t>
            </w:r>
          </w:p>
        </w:tc>
        <w:tc>
          <w:tcPr>
            <w:tcW w:w="850" w:type="dxa"/>
            <w:tcBorders>
              <w:top w:val="nil"/>
              <w:left w:val="nil"/>
              <w:bottom w:val="nil"/>
              <w:right w:val="nil"/>
            </w:tcBorders>
            <w:shd w:val="clear" w:color="auto" w:fill="D9E2F3"/>
            <w:vAlign w:val="center"/>
          </w:tcPr>
          <w:p w14:paraId="73E15A1E" w14:textId="77777777" w:rsidR="002D297E" w:rsidRPr="00F63FD5" w:rsidRDefault="00134AF0" w:rsidP="00DF776A">
            <w:pPr>
              <w:pStyle w:val="Table1"/>
              <w:tabs>
                <w:tab w:val="left" w:pos="1026"/>
              </w:tabs>
              <w:ind w:right="-13"/>
              <w:jc w:val="center"/>
              <w:rPr>
                <w:rFonts w:ascii="Arial" w:hAnsi="Arial" w:cs="Arial"/>
                <w:color w:val="auto"/>
                <w:sz w:val="16"/>
              </w:rPr>
            </w:pPr>
            <w:r>
              <w:rPr>
                <w:rFonts w:ascii="Arial" w:hAnsi="Arial" w:cs="Arial"/>
                <w:color w:val="auto"/>
                <w:sz w:val="16"/>
              </w:rPr>
              <w:t>0.6</w:t>
            </w:r>
            <w:r w:rsidR="00DD741A">
              <w:rPr>
                <w:rFonts w:ascii="Arial" w:hAnsi="Arial" w:cs="Arial"/>
                <w:color w:val="auto"/>
                <w:sz w:val="16"/>
              </w:rPr>
              <w:t>1</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14:paraId="274B23C4" w14:textId="77777777" w:rsidR="002D297E" w:rsidRPr="00F63FD5" w:rsidRDefault="0035118D" w:rsidP="00DF776A">
            <w:pPr>
              <w:pStyle w:val="Table1"/>
              <w:tabs>
                <w:tab w:val="left" w:pos="823"/>
              </w:tabs>
              <w:ind w:right="114"/>
              <w:jc w:val="center"/>
              <w:rPr>
                <w:rFonts w:ascii="Arial" w:hAnsi="Arial" w:cs="Arial"/>
                <w:color w:val="auto"/>
                <w:sz w:val="16"/>
              </w:rPr>
            </w:pPr>
            <w:r>
              <w:rPr>
                <w:rFonts w:ascii="Arial" w:hAnsi="Arial" w:cs="Arial"/>
                <w:color w:val="auto"/>
                <w:sz w:val="16"/>
              </w:rPr>
              <w:t>0.</w:t>
            </w:r>
            <w:r w:rsidR="00DD741A">
              <w:rPr>
                <w:rFonts w:ascii="Arial" w:hAnsi="Arial" w:cs="Arial"/>
                <w:color w:val="auto"/>
                <w:sz w:val="16"/>
              </w:rPr>
              <w:t>8</w:t>
            </w:r>
          </w:p>
        </w:tc>
        <w:tc>
          <w:tcPr>
            <w:tcW w:w="851" w:type="dxa"/>
            <w:tcBorders>
              <w:top w:val="nil"/>
              <w:left w:val="nil"/>
              <w:bottom w:val="nil"/>
              <w:right w:val="nil"/>
            </w:tcBorders>
            <w:shd w:val="clear" w:color="auto" w:fill="D9E2F3"/>
            <w:vAlign w:val="center"/>
          </w:tcPr>
          <w:p w14:paraId="08A7DB37" w14:textId="77777777" w:rsidR="002D297E" w:rsidRPr="00F63FD5" w:rsidRDefault="00134AF0" w:rsidP="00DF776A">
            <w:pPr>
              <w:pStyle w:val="Table1"/>
              <w:tabs>
                <w:tab w:val="left" w:pos="823"/>
              </w:tabs>
              <w:ind w:right="114"/>
              <w:jc w:val="center"/>
              <w:rPr>
                <w:rFonts w:ascii="Arial" w:hAnsi="Arial" w:cs="Arial"/>
                <w:color w:val="auto"/>
                <w:sz w:val="16"/>
              </w:rPr>
            </w:pPr>
            <w:r>
              <w:rPr>
                <w:rFonts w:ascii="Arial" w:hAnsi="Arial" w:cs="Arial"/>
                <w:color w:val="auto"/>
                <w:sz w:val="16"/>
              </w:rPr>
              <w:t>-</w:t>
            </w:r>
            <w:r w:rsidR="00DD741A">
              <w:rPr>
                <w:rFonts w:ascii="Arial" w:hAnsi="Arial" w:cs="Arial"/>
                <w:color w:val="auto"/>
                <w:sz w:val="16"/>
              </w:rPr>
              <w:t>1</w:t>
            </w:r>
            <w:r>
              <w:rPr>
                <w:rFonts w:ascii="Arial" w:hAnsi="Arial" w:cs="Arial"/>
                <w:color w:val="auto"/>
                <w:sz w:val="16"/>
              </w:rPr>
              <w:t>.</w:t>
            </w:r>
            <w:r w:rsidR="00DD741A">
              <w:rPr>
                <w:rFonts w:ascii="Arial" w:hAnsi="Arial" w:cs="Arial"/>
                <w:color w:val="auto"/>
                <w:sz w:val="16"/>
              </w:rPr>
              <w:t>0</w:t>
            </w:r>
          </w:p>
        </w:tc>
      </w:tr>
      <w:tr w:rsidR="002D297E" w:rsidRPr="00F63FD5" w14:paraId="48739E40" w14:textId="77777777" w:rsidTr="002D297E">
        <w:trPr>
          <w:trHeight w:val="262"/>
        </w:trPr>
        <w:tc>
          <w:tcPr>
            <w:tcW w:w="2376" w:type="dxa"/>
            <w:tcBorders>
              <w:top w:val="nil"/>
              <w:left w:val="nil"/>
              <w:bottom w:val="nil"/>
              <w:right w:val="nil"/>
            </w:tcBorders>
            <w:shd w:val="clear" w:color="auto" w:fill="FFFFFF" w:themeFill="background1"/>
            <w:vAlign w:val="center"/>
            <w:hideMark/>
          </w:tcPr>
          <w:p w14:paraId="2CA626E8" w14:textId="77777777" w:rsidR="002D297E" w:rsidRPr="00F63FD5" w:rsidRDefault="00F62A5F" w:rsidP="002D297E">
            <w:pPr>
              <w:pStyle w:val="Table1"/>
              <w:ind w:right="33"/>
              <w:rPr>
                <w:rFonts w:ascii="Arial" w:hAnsi="Arial" w:cs="Arial"/>
                <w:b/>
                <w:color w:val="auto"/>
                <w:sz w:val="16"/>
              </w:rPr>
            </w:pPr>
            <w:r>
              <w:rPr>
                <w:rFonts w:ascii="Arial" w:hAnsi="Arial" w:cs="Arial"/>
                <w:b/>
                <w:color w:val="auto"/>
                <w:sz w:val="16"/>
              </w:rPr>
              <w:t>Y</w:t>
            </w:r>
            <w:r w:rsidR="002D297E" w:rsidRPr="00F63FD5">
              <w:rPr>
                <w:rFonts w:ascii="Arial" w:hAnsi="Arial" w:cs="Arial"/>
                <w:b/>
                <w:color w:val="auto"/>
                <w:sz w:val="16"/>
              </w:rPr>
              <w:t>en</w:t>
            </w:r>
            <w:r>
              <w:rPr>
                <w:rFonts w:ascii="Arial" w:hAnsi="Arial" w:cs="Arial"/>
                <w:b/>
                <w:color w:val="auto"/>
                <w:sz w:val="16"/>
              </w:rPr>
              <w:t>/AUD</w:t>
            </w:r>
          </w:p>
        </w:tc>
        <w:tc>
          <w:tcPr>
            <w:tcW w:w="850" w:type="dxa"/>
            <w:tcBorders>
              <w:top w:val="nil"/>
              <w:left w:val="nil"/>
              <w:bottom w:val="nil"/>
              <w:right w:val="nil"/>
            </w:tcBorders>
            <w:shd w:val="clear" w:color="auto" w:fill="FFFFFF" w:themeFill="background1"/>
            <w:vAlign w:val="center"/>
          </w:tcPr>
          <w:p w14:paraId="7D2F6B71" w14:textId="77777777" w:rsidR="002D297E" w:rsidRPr="00F63FD5" w:rsidRDefault="00134AF0" w:rsidP="00DF776A">
            <w:pPr>
              <w:pStyle w:val="Table1"/>
              <w:tabs>
                <w:tab w:val="left" w:pos="1026"/>
              </w:tabs>
              <w:ind w:right="-13"/>
              <w:jc w:val="center"/>
              <w:rPr>
                <w:rFonts w:ascii="Arial" w:hAnsi="Arial" w:cs="Arial"/>
                <w:color w:val="auto"/>
                <w:sz w:val="16"/>
              </w:rPr>
            </w:pPr>
            <w:r>
              <w:rPr>
                <w:rFonts w:ascii="Arial" w:hAnsi="Arial" w:cs="Arial"/>
                <w:color w:val="auto"/>
                <w:sz w:val="16"/>
              </w:rPr>
              <w:t>7</w:t>
            </w:r>
            <w:r w:rsidR="00DD741A">
              <w:rPr>
                <w:rFonts w:ascii="Arial" w:hAnsi="Arial" w:cs="Arial"/>
                <w:color w:val="auto"/>
                <w:sz w:val="16"/>
              </w:rPr>
              <w:t>1</w:t>
            </w:r>
            <w:r>
              <w:rPr>
                <w:rFonts w:ascii="Arial" w:hAnsi="Arial" w:cs="Arial"/>
                <w:color w:val="auto"/>
                <w:sz w:val="16"/>
              </w:rPr>
              <w:t>.</w:t>
            </w:r>
            <w:r w:rsidR="00DD741A">
              <w:rPr>
                <w:rFonts w:ascii="Arial" w:hAnsi="Arial" w:cs="Arial"/>
                <w:color w:val="auto"/>
                <w:sz w:val="16"/>
              </w:rPr>
              <w:t>6</w:t>
            </w:r>
          </w:p>
        </w:tc>
        <w:tc>
          <w:tcPr>
            <w:tcW w:w="851" w:type="dxa"/>
            <w:tcBorders>
              <w:top w:val="nil"/>
              <w:left w:val="nil"/>
              <w:bottom w:val="nil"/>
              <w:right w:val="nil"/>
            </w:tcBorders>
            <w:shd w:val="clear" w:color="auto" w:fill="FFFFFF" w:themeFill="background1"/>
            <w:tcMar>
              <w:top w:w="0" w:type="dxa"/>
              <w:left w:w="28" w:type="dxa"/>
              <w:bottom w:w="0" w:type="dxa"/>
              <w:right w:w="28" w:type="dxa"/>
            </w:tcMar>
            <w:vAlign w:val="center"/>
          </w:tcPr>
          <w:p w14:paraId="1F39D41A" w14:textId="77777777" w:rsidR="002D297E" w:rsidRPr="00F63FD5" w:rsidRDefault="00DD741A" w:rsidP="00DF776A">
            <w:pPr>
              <w:pStyle w:val="Table1"/>
              <w:tabs>
                <w:tab w:val="left" w:pos="823"/>
              </w:tabs>
              <w:ind w:right="114"/>
              <w:jc w:val="center"/>
              <w:rPr>
                <w:rFonts w:ascii="Arial" w:hAnsi="Arial" w:cs="Arial"/>
                <w:color w:val="auto"/>
                <w:sz w:val="16"/>
              </w:rPr>
            </w:pPr>
            <w:r>
              <w:rPr>
                <w:rFonts w:ascii="Arial" w:hAnsi="Arial" w:cs="Arial"/>
                <w:color w:val="auto"/>
                <w:sz w:val="16"/>
              </w:rPr>
              <w:t>-3</w:t>
            </w:r>
            <w:r w:rsidR="0035118D">
              <w:rPr>
                <w:rFonts w:ascii="Arial" w:hAnsi="Arial" w:cs="Arial"/>
                <w:color w:val="auto"/>
                <w:sz w:val="16"/>
              </w:rPr>
              <w:t>.</w:t>
            </w:r>
            <w:r>
              <w:rPr>
                <w:rFonts w:ascii="Arial" w:hAnsi="Arial" w:cs="Arial"/>
                <w:color w:val="auto"/>
                <w:sz w:val="16"/>
              </w:rPr>
              <w:t>8</w:t>
            </w:r>
          </w:p>
        </w:tc>
        <w:tc>
          <w:tcPr>
            <w:tcW w:w="851" w:type="dxa"/>
            <w:tcBorders>
              <w:top w:val="nil"/>
              <w:left w:val="nil"/>
              <w:bottom w:val="nil"/>
              <w:right w:val="nil"/>
            </w:tcBorders>
            <w:shd w:val="clear" w:color="auto" w:fill="FFFFFF" w:themeFill="background1"/>
            <w:vAlign w:val="center"/>
          </w:tcPr>
          <w:p w14:paraId="088A9B47" w14:textId="77777777" w:rsidR="002D297E" w:rsidRPr="00F63FD5" w:rsidRDefault="002D297E" w:rsidP="00DF776A">
            <w:pPr>
              <w:pStyle w:val="Table1"/>
              <w:tabs>
                <w:tab w:val="left" w:pos="823"/>
              </w:tabs>
              <w:ind w:right="114"/>
              <w:jc w:val="center"/>
              <w:rPr>
                <w:rFonts w:ascii="Arial" w:hAnsi="Arial" w:cs="Arial"/>
                <w:color w:val="auto"/>
                <w:sz w:val="16"/>
              </w:rPr>
            </w:pPr>
            <w:r w:rsidRPr="00F63FD5">
              <w:rPr>
                <w:rFonts w:ascii="Arial" w:hAnsi="Arial" w:cs="Arial"/>
                <w:color w:val="auto"/>
                <w:sz w:val="16"/>
              </w:rPr>
              <w:t>-</w:t>
            </w:r>
            <w:r w:rsidR="00DD741A">
              <w:rPr>
                <w:rFonts w:ascii="Arial" w:hAnsi="Arial" w:cs="Arial"/>
                <w:color w:val="auto"/>
                <w:sz w:val="16"/>
              </w:rPr>
              <w:t>10</w:t>
            </w:r>
            <w:r w:rsidR="00134AF0">
              <w:rPr>
                <w:rFonts w:ascii="Arial" w:hAnsi="Arial" w:cs="Arial"/>
                <w:color w:val="auto"/>
                <w:sz w:val="16"/>
              </w:rPr>
              <w:t>.</w:t>
            </w:r>
            <w:r w:rsidR="00DD741A">
              <w:rPr>
                <w:rFonts w:ascii="Arial" w:hAnsi="Arial" w:cs="Arial"/>
                <w:color w:val="auto"/>
                <w:sz w:val="16"/>
              </w:rPr>
              <w:t>3</w:t>
            </w:r>
          </w:p>
        </w:tc>
      </w:tr>
      <w:tr w:rsidR="002D297E" w:rsidRPr="00F63FD5" w14:paraId="23AF97E6" w14:textId="77777777" w:rsidTr="00CA2B56">
        <w:trPr>
          <w:trHeight w:val="292"/>
        </w:trPr>
        <w:tc>
          <w:tcPr>
            <w:tcW w:w="2376" w:type="dxa"/>
            <w:tcBorders>
              <w:top w:val="nil"/>
              <w:left w:val="nil"/>
              <w:bottom w:val="nil"/>
              <w:right w:val="nil"/>
            </w:tcBorders>
            <w:shd w:val="clear" w:color="auto" w:fill="D9E2F3"/>
            <w:vAlign w:val="center"/>
            <w:hideMark/>
          </w:tcPr>
          <w:p w14:paraId="168AE494" w14:textId="77777777" w:rsidR="002D297E" w:rsidRPr="00F63FD5" w:rsidRDefault="002D297E" w:rsidP="002D297E">
            <w:pPr>
              <w:pStyle w:val="Table1"/>
              <w:ind w:right="33"/>
              <w:rPr>
                <w:rFonts w:ascii="Arial" w:hAnsi="Arial" w:cs="Arial"/>
                <w:b/>
                <w:color w:val="auto"/>
                <w:sz w:val="16"/>
              </w:rPr>
            </w:pPr>
            <w:r w:rsidRPr="00F63FD5">
              <w:rPr>
                <w:rFonts w:ascii="Arial" w:hAnsi="Arial" w:cs="Arial"/>
                <w:b/>
                <w:color w:val="auto"/>
                <w:sz w:val="16"/>
              </w:rPr>
              <w:t>Trade weighted index</w:t>
            </w:r>
          </w:p>
        </w:tc>
        <w:tc>
          <w:tcPr>
            <w:tcW w:w="850" w:type="dxa"/>
            <w:tcBorders>
              <w:top w:val="nil"/>
              <w:left w:val="nil"/>
              <w:bottom w:val="nil"/>
              <w:right w:val="nil"/>
            </w:tcBorders>
            <w:shd w:val="clear" w:color="auto" w:fill="D9E2F3"/>
            <w:vAlign w:val="center"/>
          </w:tcPr>
          <w:p w14:paraId="696FC7BF" w14:textId="77777777" w:rsidR="002D297E" w:rsidRPr="00F63FD5" w:rsidRDefault="00DD741A" w:rsidP="002D297E">
            <w:pPr>
              <w:pStyle w:val="Table1"/>
              <w:tabs>
                <w:tab w:val="left" w:pos="1026"/>
              </w:tabs>
              <w:ind w:right="-13"/>
              <w:jc w:val="center"/>
              <w:rPr>
                <w:rFonts w:ascii="Arial" w:hAnsi="Arial" w:cs="Arial"/>
                <w:color w:val="auto"/>
                <w:sz w:val="16"/>
              </w:rPr>
            </w:pPr>
            <w:r>
              <w:rPr>
                <w:rFonts w:ascii="Arial" w:hAnsi="Arial" w:cs="Arial"/>
                <w:color w:val="auto"/>
                <w:sz w:val="16"/>
              </w:rPr>
              <w:t>58</w:t>
            </w:r>
            <w:r w:rsidR="00134AF0">
              <w:rPr>
                <w:rFonts w:ascii="Arial" w:hAnsi="Arial" w:cs="Arial"/>
                <w:color w:val="auto"/>
                <w:sz w:val="16"/>
              </w:rPr>
              <w:t>.</w:t>
            </w:r>
            <w:r>
              <w:rPr>
                <w:rFonts w:ascii="Arial" w:hAnsi="Arial" w:cs="Arial"/>
                <w:color w:val="auto"/>
                <w:sz w:val="16"/>
              </w:rPr>
              <w:t>9</w:t>
            </w:r>
          </w:p>
        </w:tc>
        <w:tc>
          <w:tcPr>
            <w:tcW w:w="851" w:type="dxa"/>
            <w:tcBorders>
              <w:top w:val="nil"/>
              <w:left w:val="nil"/>
              <w:bottom w:val="nil"/>
              <w:right w:val="nil"/>
            </w:tcBorders>
            <w:shd w:val="clear" w:color="auto" w:fill="D9E2F3"/>
            <w:tcMar>
              <w:top w:w="0" w:type="dxa"/>
              <w:left w:w="28" w:type="dxa"/>
              <w:bottom w:w="0" w:type="dxa"/>
              <w:right w:w="28" w:type="dxa"/>
            </w:tcMar>
            <w:vAlign w:val="center"/>
          </w:tcPr>
          <w:p w14:paraId="004EDD42" w14:textId="77777777" w:rsidR="002D297E" w:rsidRPr="00F63FD5" w:rsidRDefault="002D297E" w:rsidP="002D297E">
            <w:pPr>
              <w:pStyle w:val="Table1"/>
              <w:tabs>
                <w:tab w:val="left" w:pos="823"/>
              </w:tabs>
              <w:ind w:right="114"/>
              <w:rPr>
                <w:rFonts w:ascii="Arial" w:hAnsi="Arial" w:cs="Arial"/>
                <w:color w:val="auto"/>
                <w:sz w:val="16"/>
              </w:rPr>
            </w:pPr>
            <w:r w:rsidRPr="00F63FD5">
              <w:rPr>
                <w:rFonts w:ascii="Arial" w:hAnsi="Arial" w:cs="Arial"/>
                <w:color w:val="auto"/>
                <w:sz w:val="16"/>
              </w:rPr>
              <w:t xml:space="preserve"> </w:t>
            </w:r>
            <w:r w:rsidR="00F62A5F">
              <w:rPr>
                <w:rFonts w:ascii="Arial" w:hAnsi="Arial" w:cs="Arial"/>
                <w:color w:val="auto"/>
                <w:sz w:val="16"/>
              </w:rPr>
              <w:t xml:space="preserve"> </w:t>
            </w:r>
            <w:r w:rsidRPr="00F63FD5">
              <w:rPr>
                <w:rFonts w:ascii="Arial" w:hAnsi="Arial" w:cs="Arial"/>
                <w:color w:val="auto"/>
                <w:sz w:val="16"/>
              </w:rPr>
              <w:t xml:space="preserve">  </w:t>
            </w:r>
            <w:r w:rsidR="00DD741A">
              <w:rPr>
                <w:rFonts w:ascii="Arial" w:hAnsi="Arial" w:cs="Arial"/>
                <w:color w:val="auto"/>
                <w:sz w:val="16"/>
              </w:rPr>
              <w:t>-1</w:t>
            </w:r>
            <w:r w:rsidR="00134AF0">
              <w:rPr>
                <w:rFonts w:ascii="Arial" w:hAnsi="Arial" w:cs="Arial"/>
                <w:color w:val="auto"/>
                <w:sz w:val="16"/>
              </w:rPr>
              <w:t>.</w:t>
            </w:r>
            <w:r w:rsidR="00DD741A">
              <w:rPr>
                <w:rFonts w:ascii="Arial" w:hAnsi="Arial" w:cs="Arial"/>
                <w:color w:val="auto"/>
                <w:sz w:val="16"/>
              </w:rPr>
              <w:t>0</w:t>
            </w:r>
          </w:p>
        </w:tc>
        <w:tc>
          <w:tcPr>
            <w:tcW w:w="851" w:type="dxa"/>
            <w:tcBorders>
              <w:top w:val="nil"/>
              <w:left w:val="nil"/>
              <w:bottom w:val="nil"/>
              <w:right w:val="nil"/>
            </w:tcBorders>
            <w:shd w:val="clear" w:color="auto" w:fill="D9E2F3"/>
            <w:vAlign w:val="center"/>
          </w:tcPr>
          <w:p w14:paraId="6C8ACB8B" w14:textId="77777777" w:rsidR="002D297E" w:rsidRPr="00F63FD5" w:rsidRDefault="002D297E" w:rsidP="002D297E">
            <w:pPr>
              <w:pStyle w:val="Table1"/>
              <w:tabs>
                <w:tab w:val="left" w:pos="823"/>
              </w:tabs>
              <w:ind w:right="114"/>
              <w:jc w:val="center"/>
              <w:rPr>
                <w:rFonts w:ascii="Arial" w:hAnsi="Arial" w:cs="Arial"/>
                <w:color w:val="auto"/>
                <w:sz w:val="16"/>
              </w:rPr>
            </w:pPr>
            <w:r w:rsidRPr="00F63FD5">
              <w:rPr>
                <w:rFonts w:ascii="Arial" w:hAnsi="Arial" w:cs="Arial"/>
                <w:color w:val="auto"/>
                <w:sz w:val="16"/>
              </w:rPr>
              <w:t>-</w:t>
            </w:r>
            <w:r w:rsidR="00DD741A">
              <w:rPr>
                <w:rFonts w:ascii="Arial" w:hAnsi="Arial" w:cs="Arial"/>
                <w:color w:val="auto"/>
                <w:sz w:val="16"/>
              </w:rPr>
              <w:t>5</w:t>
            </w:r>
            <w:r w:rsidR="00134AF0">
              <w:rPr>
                <w:rFonts w:ascii="Arial" w:hAnsi="Arial" w:cs="Arial"/>
                <w:color w:val="auto"/>
                <w:sz w:val="16"/>
              </w:rPr>
              <w:t>.</w:t>
            </w:r>
            <w:r w:rsidR="00DD741A">
              <w:rPr>
                <w:rFonts w:ascii="Arial" w:hAnsi="Arial" w:cs="Arial"/>
                <w:color w:val="auto"/>
                <w:sz w:val="16"/>
              </w:rPr>
              <w:t>3</w:t>
            </w:r>
          </w:p>
        </w:tc>
      </w:tr>
      <w:tr w:rsidR="002D297E" w:rsidRPr="00F63FD5" w14:paraId="304F565A" w14:textId="77777777" w:rsidTr="002D297E">
        <w:trPr>
          <w:trHeight w:val="262"/>
        </w:trPr>
        <w:tc>
          <w:tcPr>
            <w:tcW w:w="4928" w:type="dxa"/>
            <w:gridSpan w:val="4"/>
            <w:tcBorders>
              <w:top w:val="nil"/>
              <w:left w:val="nil"/>
              <w:bottom w:val="nil"/>
              <w:right w:val="nil"/>
            </w:tcBorders>
            <w:vAlign w:val="center"/>
          </w:tcPr>
          <w:p w14:paraId="226312EC" w14:textId="77777777" w:rsidR="00811C2C" w:rsidRPr="00C21893" w:rsidRDefault="00811C2C" w:rsidP="00A7531F">
            <w:pPr>
              <w:pStyle w:val="NoSpacing"/>
              <w:rPr>
                <w:sz w:val="16"/>
                <w:szCs w:val="16"/>
              </w:rPr>
            </w:pPr>
          </w:p>
          <w:p w14:paraId="4DD99C55" w14:textId="77777777" w:rsidR="002D297E" w:rsidRPr="004F6BFA" w:rsidRDefault="0035118D" w:rsidP="00A7531F">
            <w:pPr>
              <w:pStyle w:val="NoSpacing"/>
              <w:rPr>
                <w:sz w:val="13"/>
                <w:szCs w:val="13"/>
              </w:rPr>
            </w:pPr>
            <w:r w:rsidRPr="004F6BFA">
              <w:rPr>
                <w:b/>
                <w:sz w:val="13"/>
                <w:szCs w:val="13"/>
              </w:rPr>
              <w:t>Source</w:t>
            </w:r>
            <w:r w:rsidRPr="004F6BFA">
              <w:rPr>
                <w:sz w:val="13"/>
                <w:szCs w:val="13"/>
              </w:rPr>
              <w:t>: Bloomberg &amp; IOOF, 3</w:t>
            </w:r>
            <w:r w:rsidR="004F6BFA" w:rsidRPr="004F6BFA">
              <w:rPr>
                <w:sz w:val="13"/>
                <w:szCs w:val="13"/>
              </w:rPr>
              <w:t>1 August</w:t>
            </w:r>
            <w:r w:rsidRPr="004F6BFA">
              <w:rPr>
                <w:sz w:val="13"/>
                <w:szCs w:val="13"/>
              </w:rPr>
              <w:t xml:space="preserve"> 2019. All foreign exchange rates are rounded to two decimal places where appropriate.</w:t>
            </w:r>
            <w:r w:rsidR="004F6BFA" w:rsidRPr="004F6BFA">
              <w:rPr>
                <w:sz w:val="13"/>
                <w:szCs w:val="13"/>
              </w:rPr>
              <w:t xml:space="preserve"> </w:t>
            </w:r>
            <w:r w:rsidRPr="004F6BFA">
              <w:rPr>
                <w:b/>
                <w:sz w:val="13"/>
                <w:szCs w:val="13"/>
              </w:rPr>
              <w:t>Please note</w:t>
            </w:r>
            <w:r w:rsidRPr="004F6BFA">
              <w:rPr>
                <w:sz w:val="13"/>
                <w:szCs w:val="13"/>
              </w:rPr>
              <w:t xml:space="preserve">: Past performance is not indicative of future performance </w:t>
            </w:r>
          </w:p>
        </w:tc>
      </w:tr>
    </w:tbl>
    <w:p w14:paraId="6EB07CA1" w14:textId="77777777" w:rsidR="008A1CFD" w:rsidRPr="008A1CFD" w:rsidRDefault="008A1CFD" w:rsidP="008A1CFD">
      <w:pPr>
        <w:spacing w:after="120"/>
        <w:rPr>
          <w:rFonts w:ascii="Arial" w:hAnsi="Arial" w:cs="Arial"/>
          <w:b/>
          <w:color w:val="0084C1"/>
          <w:sz w:val="14"/>
          <w:highlight w:val="yellow"/>
        </w:rPr>
        <w:sectPr w:rsidR="008A1CFD" w:rsidRPr="008A1CFD" w:rsidSect="00B0269B">
          <w:headerReference w:type="default" r:id="rId10"/>
          <w:type w:val="continuous"/>
          <w:pgSz w:w="11900" w:h="16840"/>
          <w:pgMar w:top="1440" w:right="843" w:bottom="1440" w:left="709" w:header="0" w:footer="0" w:gutter="0"/>
          <w:cols w:num="2" w:space="142"/>
          <w:docGrid w:linePitch="360"/>
        </w:sectPr>
      </w:pPr>
    </w:p>
    <w:p w14:paraId="03AA26B3" w14:textId="77777777" w:rsidR="000E7CAC" w:rsidRDefault="000E7CAC" w:rsidP="00624A31">
      <w:pPr>
        <w:rPr>
          <w:rFonts w:ascii="Verdana" w:hAnsi="Verdana"/>
          <w:sz w:val="14"/>
          <w:szCs w:val="14"/>
        </w:rPr>
      </w:pPr>
      <w:bookmarkStart w:id="1" w:name="_Hlk529782802"/>
      <w:bookmarkEnd w:id="1"/>
    </w:p>
    <w:sectPr w:rsidR="000E7CAC" w:rsidSect="008E1904">
      <w:headerReference w:type="default" r:id="rId11"/>
      <w:type w:val="continuous"/>
      <w:pgSz w:w="11900" w:h="16840"/>
      <w:pgMar w:top="1440" w:right="560" w:bottom="568" w:left="709" w:header="0" w:footer="0" w:gutter="0"/>
      <w:cols w:space="2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412A7" w14:textId="77777777" w:rsidR="00CA2113" w:rsidRDefault="00CA2113" w:rsidP="001B56FD">
      <w:r>
        <w:separator/>
      </w:r>
    </w:p>
  </w:endnote>
  <w:endnote w:type="continuationSeparator" w:id="0">
    <w:p w14:paraId="4DE5DA2A" w14:textId="77777777" w:rsidR="00CA2113" w:rsidRDefault="00CA2113" w:rsidP="001B5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Courier New"/>
    <w:charset w:val="00"/>
    <w:family w:val="auto"/>
    <w:pitch w:val="variable"/>
    <w:sig w:usb0="03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88A21" w14:textId="77777777" w:rsidR="008E1904" w:rsidRPr="008513F1" w:rsidRDefault="008E1904" w:rsidP="008E1904">
    <w:pPr>
      <w:spacing w:line="160" w:lineRule="exact"/>
      <w:ind w:left="-284" w:right="-1"/>
      <w:jc w:val="both"/>
      <w:rPr>
        <w:rFonts w:ascii="Arial" w:hAnsi="Arial" w:cs="Arial"/>
        <w:sz w:val="15"/>
        <w:szCs w:val="15"/>
      </w:rPr>
    </w:pPr>
    <w:r w:rsidRPr="008513F1">
      <w:rPr>
        <w:rFonts w:ascii="Arial" w:hAnsi="Arial" w:cs="Arial"/>
        <w:sz w:val="15"/>
        <w:szCs w:val="15"/>
      </w:rPr>
      <w:t>Disclaimer: Th</w:t>
    </w:r>
    <w:r>
      <w:rPr>
        <w:rFonts w:ascii="Arial" w:hAnsi="Arial" w:cs="Arial"/>
        <w:sz w:val="15"/>
        <w:szCs w:val="15"/>
      </w:rPr>
      <w:t>is</w:t>
    </w:r>
    <w:r w:rsidR="00134AF0">
      <w:rPr>
        <w:rFonts w:ascii="Arial" w:hAnsi="Arial" w:cs="Arial"/>
        <w:sz w:val="15"/>
        <w:szCs w:val="15"/>
      </w:rPr>
      <w:t xml:space="preserve"> information is current as at 3</w:t>
    </w:r>
    <w:r w:rsidR="0035118D">
      <w:rPr>
        <w:rFonts w:ascii="Arial" w:hAnsi="Arial" w:cs="Arial"/>
        <w:sz w:val="15"/>
        <w:szCs w:val="15"/>
      </w:rPr>
      <w:t>0</w:t>
    </w:r>
    <w:r w:rsidR="00134AF0">
      <w:rPr>
        <w:rFonts w:ascii="Arial" w:hAnsi="Arial" w:cs="Arial"/>
        <w:sz w:val="15"/>
        <w:szCs w:val="15"/>
      </w:rPr>
      <w:t xml:space="preserve"> </w:t>
    </w:r>
    <w:r w:rsidR="0035118D">
      <w:rPr>
        <w:rFonts w:ascii="Arial" w:hAnsi="Arial" w:cs="Arial"/>
        <w:sz w:val="15"/>
        <w:szCs w:val="15"/>
      </w:rPr>
      <w:t>June</w:t>
    </w:r>
    <w:r>
      <w:rPr>
        <w:rFonts w:ascii="Arial" w:hAnsi="Arial" w:cs="Arial"/>
        <w:sz w:val="15"/>
        <w:szCs w:val="15"/>
      </w:rPr>
      <w:t xml:space="preserve"> 2019</w:t>
    </w:r>
    <w:r w:rsidRPr="008513F1">
      <w:rPr>
        <w:rFonts w:ascii="Arial" w:hAnsi="Arial" w:cs="Arial"/>
        <w:sz w:val="15"/>
        <w:szCs w:val="15"/>
      </w:rPr>
      <w:t xml:space="preserve"> but is subject to change. This information has been prepared on behalf of Financial Services Partners Pty Ltd ABN 15 089 512 587 AFSL 237590, a wholly owned subsidiary of IOOF Ltd ABN 21 087 649 625 AFS Licence No. 230522. Whilst care has been taken in preparing this information, Financial Services Partners and its related entities do not warrant or represent that the information is accurate. To the extent permitted by law, Financial Services Partners and its related entities do not accept any liability from the use of the information. Past performance is not indicative of future performance. The value of investments may rise or </w:t>
    </w:r>
    <w:proofErr w:type="gramStart"/>
    <w:r w:rsidRPr="008513F1">
      <w:rPr>
        <w:rFonts w:ascii="Arial" w:hAnsi="Arial" w:cs="Arial"/>
        <w:sz w:val="15"/>
        <w:szCs w:val="15"/>
      </w:rPr>
      <w:t>fall</w:t>
    </w:r>
    <w:proofErr w:type="gramEnd"/>
    <w:r w:rsidRPr="008513F1">
      <w:rPr>
        <w:rFonts w:ascii="Arial" w:hAnsi="Arial" w:cs="Arial"/>
        <w:sz w:val="15"/>
        <w:szCs w:val="15"/>
      </w:rPr>
      <w:t xml:space="preserve"> and the repayment of capital is not guaranteed. The information is not to be construed as investment or financial product </w:t>
    </w:r>
    <w:proofErr w:type="gramStart"/>
    <w:r w:rsidRPr="008513F1">
      <w:rPr>
        <w:rFonts w:ascii="Arial" w:hAnsi="Arial" w:cs="Arial"/>
        <w:sz w:val="15"/>
        <w:szCs w:val="15"/>
      </w:rPr>
      <w:t>advice, and</w:t>
    </w:r>
    <w:proofErr w:type="gramEnd"/>
    <w:r w:rsidRPr="008513F1">
      <w:rPr>
        <w:rFonts w:ascii="Arial" w:hAnsi="Arial" w:cs="Arial"/>
        <w:sz w:val="15"/>
        <w:szCs w:val="15"/>
      </w:rPr>
      <w:t xml:space="preserve"> should not be relied upon as a substitute for professional advice. The information provided is of a general nature and has been prepared without </w:t>
    </w:r>
    <w:proofErr w:type="gramStart"/>
    <w:r w:rsidRPr="008513F1">
      <w:rPr>
        <w:rFonts w:ascii="Arial" w:hAnsi="Arial" w:cs="Arial"/>
        <w:sz w:val="15"/>
        <w:szCs w:val="15"/>
      </w:rPr>
      <w:t>taking into account</w:t>
    </w:r>
    <w:proofErr w:type="gramEnd"/>
    <w:r w:rsidRPr="008513F1">
      <w:rPr>
        <w:rFonts w:ascii="Arial" w:hAnsi="Arial" w:cs="Arial"/>
        <w:sz w:val="15"/>
        <w:szCs w:val="15"/>
      </w:rPr>
      <w:t xml:space="preserve"> a potential investor’s objectives, financial situation or needs. Before acting on this information, potential investors should consider whether the information is appropriate for them, having regard to their objectives, financial situation and needs. Financial Services Partners Pty Ltd ABN 15 089 512 587 AFSL 237590 is a wholly owned subsidiary of IOOF Ltd ABN 21 087 649 625 AFS Licence No. 230522.</w:t>
    </w:r>
  </w:p>
  <w:p w14:paraId="2A37F014" w14:textId="77777777" w:rsidR="00CF351F" w:rsidRPr="00CF351F" w:rsidRDefault="00CF351F" w:rsidP="008E1904">
    <w:pPr>
      <w:ind w:left="-284"/>
      <w:jc w:val="both"/>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33FB8" w14:textId="77777777" w:rsidR="00CA2113" w:rsidRDefault="00CA2113" w:rsidP="001B56FD">
      <w:r>
        <w:separator/>
      </w:r>
    </w:p>
  </w:footnote>
  <w:footnote w:type="continuationSeparator" w:id="0">
    <w:p w14:paraId="625F2D61" w14:textId="77777777" w:rsidR="00CA2113" w:rsidRDefault="00CA2113" w:rsidP="001B56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0350C" w14:textId="77777777" w:rsidR="008A1CFD" w:rsidRDefault="008A1CFD" w:rsidP="001B56FD">
    <w:pPr>
      <w:pStyle w:val="Header"/>
      <w:tabs>
        <w:tab w:val="clear" w:pos="8640"/>
        <w:tab w:val="right" w:pos="10065"/>
      </w:tabs>
      <w:ind w:left="-1800" w:right="-176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701D8" w14:textId="77777777" w:rsidR="00057F04" w:rsidRDefault="00D74DC0" w:rsidP="001B56FD">
    <w:pPr>
      <w:pStyle w:val="Header"/>
      <w:tabs>
        <w:tab w:val="clear" w:pos="8640"/>
        <w:tab w:val="right" w:pos="10065"/>
      </w:tabs>
      <w:ind w:left="-1800" w:right="-176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A677E"/>
    <w:multiLevelType w:val="hybridMultilevel"/>
    <w:tmpl w:val="CF78A432"/>
    <w:lvl w:ilvl="0" w:tplc="987416B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1298049D"/>
    <w:multiLevelType w:val="hybridMultilevel"/>
    <w:tmpl w:val="138058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D56DBC"/>
    <w:multiLevelType w:val="hybridMultilevel"/>
    <w:tmpl w:val="1B9EF8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7C5BF6"/>
    <w:multiLevelType w:val="hybridMultilevel"/>
    <w:tmpl w:val="8DB85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33A2828"/>
    <w:multiLevelType w:val="hybridMultilevel"/>
    <w:tmpl w:val="9EFA6A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86906E6"/>
    <w:multiLevelType w:val="hybridMultilevel"/>
    <w:tmpl w:val="CB30A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7237B4"/>
    <w:multiLevelType w:val="hybridMultilevel"/>
    <w:tmpl w:val="7F02D3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A8D248C"/>
    <w:multiLevelType w:val="hybridMultilevel"/>
    <w:tmpl w:val="554A6118"/>
    <w:lvl w:ilvl="0" w:tplc="73E222F8">
      <w:start w:val="1"/>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A9975D3"/>
    <w:multiLevelType w:val="hybridMultilevel"/>
    <w:tmpl w:val="761CAFA6"/>
    <w:lvl w:ilvl="0" w:tplc="6BFAE608">
      <w:numFmt w:val="bullet"/>
      <w:lvlText w:val=""/>
      <w:lvlJc w:val="left"/>
      <w:pPr>
        <w:ind w:left="-252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1080" w:hanging="360"/>
      </w:pPr>
      <w:rPr>
        <w:rFonts w:ascii="Wingdings" w:hAnsi="Wingdings" w:hint="default"/>
      </w:rPr>
    </w:lvl>
    <w:lvl w:ilvl="3" w:tplc="0C090001" w:tentative="1">
      <w:start w:val="1"/>
      <w:numFmt w:val="bullet"/>
      <w:lvlText w:val=""/>
      <w:lvlJc w:val="left"/>
      <w:pPr>
        <w:ind w:left="-360" w:hanging="360"/>
      </w:pPr>
      <w:rPr>
        <w:rFonts w:ascii="Symbol" w:hAnsi="Symbol" w:hint="default"/>
      </w:rPr>
    </w:lvl>
    <w:lvl w:ilvl="4" w:tplc="0C090003" w:tentative="1">
      <w:start w:val="1"/>
      <w:numFmt w:val="bullet"/>
      <w:lvlText w:val="o"/>
      <w:lvlJc w:val="left"/>
      <w:pPr>
        <w:ind w:left="360" w:hanging="360"/>
      </w:pPr>
      <w:rPr>
        <w:rFonts w:ascii="Courier New" w:hAnsi="Courier New" w:cs="Courier New" w:hint="default"/>
      </w:rPr>
    </w:lvl>
    <w:lvl w:ilvl="5" w:tplc="0C090005" w:tentative="1">
      <w:start w:val="1"/>
      <w:numFmt w:val="bullet"/>
      <w:lvlText w:val=""/>
      <w:lvlJc w:val="left"/>
      <w:pPr>
        <w:ind w:left="1080" w:hanging="360"/>
      </w:pPr>
      <w:rPr>
        <w:rFonts w:ascii="Wingdings" w:hAnsi="Wingdings" w:hint="default"/>
      </w:rPr>
    </w:lvl>
    <w:lvl w:ilvl="6" w:tplc="0C090001" w:tentative="1">
      <w:start w:val="1"/>
      <w:numFmt w:val="bullet"/>
      <w:lvlText w:val=""/>
      <w:lvlJc w:val="left"/>
      <w:pPr>
        <w:ind w:left="1800" w:hanging="360"/>
      </w:pPr>
      <w:rPr>
        <w:rFonts w:ascii="Symbol" w:hAnsi="Symbol" w:hint="default"/>
      </w:rPr>
    </w:lvl>
    <w:lvl w:ilvl="7" w:tplc="0C090003" w:tentative="1">
      <w:start w:val="1"/>
      <w:numFmt w:val="bullet"/>
      <w:lvlText w:val="o"/>
      <w:lvlJc w:val="left"/>
      <w:pPr>
        <w:ind w:left="2520" w:hanging="360"/>
      </w:pPr>
      <w:rPr>
        <w:rFonts w:ascii="Courier New" w:hAnsi="Courier New" w:cs="Courier New" w:hint="default"/>
      </w:rPr>
    </w:lvl>
    <w:lvl w:ilvl="8" w:tplc="0C090005" w:tentative="1">
      <w:start w:val="1"/>
      <w:numFmt w:val="bullet"/>
      <w:lvlText w:val=""/>
      <w:lvlJc w:val="left"/>
      <w:pPr>
        <w:ind w:left="3240" w:hanging="360"/>
      </w:pPr>
      <w:rPr>
        <w:rFonts w:ascii="Wingdings" w:hAnsi="Wingdings" w:hint="default"/>
      </w:rPr>
    </w:lvl>
  </w:abstractNum>
  <w:abstractNum w:abstractNumId="9" w15:restartNumberingAfterBreak="0">
    <w:nsid w:val="2D3052F3"/>
    <w:multiLevelType w:val="hybridMultilevel"/>
    <w:tmpl w:val="D2ACC7C8"/>
    <w:lvl w:ilvl="0" w:tplc="6BFAE608">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3ADA6CA7"/>
    <w:multiLevelType w:val="hybridMultilevel"/>
    <w:tmpl w:val="E8664536"/>
    <w:lvl w:ilvl="0" w:tplc="B35EB3F2">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5E1687"/>
    <w:multiLevelType w:val="hybridMultilevel"/>
    <w:tmpl w:val="FA146A7C"/>
    <w:lvl w:ilvl="0" w:tplc="04090001">
      <w:start w:val="1"/>
      <w:numFmt w:val="bullet"/>
      <w:lvlText w:val=""/>
      <w:lvlJc w:val="left"/>
      <w:pPr>
        <w:ind w:left="1209" w:hanging="360"/>
      </w:pPr>
      <w:rPr>
        <w:rFonts w:ascii="Symbol" w:hAnsi="Symbol" w:hint="default"/>
      </w:rPr>
    </w:lvl>
    <w:lvl w:ilvl="1" w:tplc="04090003" w:tentative="1">
      <w:start w:val="1"/>
      <w:numFmt w:val="bullet"/>
      <w:lvlText w:val="o"/>
      <w:lvlJc w:val="left"/>
      <w:pPr>
        <w:ind w:left="1929" w:hanging="360"/>
      </w:pPr>
      <w:rPr>
        <w:rFonts w:ascii="Courier New" w:hAnsi="Courier New" w:hint="default"/>
      </w:rPr>
    </w:lvl>
    <w:lvl w:ilvl="2" w:tplc="04090005" w:tentative="1">
      <w:start w:val="1"/>
      <w:numFmt w:val="bullet"/>
      <w:lvlText w:val=""/>
      <w:lvlJc w:val="left"/>
      <w:pPr>
        <w:ind w:left="2649" w:hanging="360"/>
      </w:pPr>
      <w:rPr>
        <w:rFonts w:ascii="Wingdings" w:hAnsi="Wingdings" w:hint="default"/>
      </w:rPr>
    </w:lvl>
    <w:lvl w:ilvl="3" w:tplc="04090001" w:tentative="1">
      <w:start w:val="1"/>
      <w:numFmt w:val="bullet"/>
      <w:lvlText w:val=""/>
      <w:lvlJc w:val="left"/>
      <w:pPr>
        <w:ind w:left="3369" w:hanging="360"/>
      </w:pPr>
      <w:rPr>
        <w:rFonts w:ascii="Symbol" w:hAnsi="Symbol" w:hint="default"/>
      </w:rPr>
    </w:lvl>
    <w:lvl w:ilvl="4" w:tplc="04090003" w:tentative="1">
      <w:start w:val="1"/>
      <w:numFmt w:val="bullet"/>
      <w:lvlText w:val="o"/>
      <w:lvlJc w:val="left"/>
      <w:pPr>
        <w:ind w:left="4089" w:hanging="360"/>
      </w:pPr>
      <w:rPr>
        <w:rFonts w:ascii="Courier New" w:hAnsi="Courier New" w:hint="default"/>
      </w:rPr>
    </w:lvl>
    <w:lvl w:ilvl="5" w:tplc="04090005" w:tentative="1">
      <w:start w:val="1"/>
      <w:numFmt w:val="bullet"/>
      <w:lvlText w:val=""/>
      <w:lvlJc w:val="left"/>
      <w:pPr>
        <w:ind w:left="4809" w:hanging="360"/>
      </w:pPr>
      <w:rPr>
        <w:rFonts w:ascii="Wingdings" w:hAnsi="Wingdings" w:hint="default"/>
      </w:rPr>
    </w:lvl>
    <w:lvl w:ilvl="6" w:tplc="04090001" w:tentative="1">
      <w:start w:val="1"/>
      <w:numFmt w:val="bullet"/>
      <w:lvlText w:val=""/>
      <w:lvlJc w:val="left"/>
      <w:pPr>
        <w:ind w:left="5529" w:hanging="360"/>
      </w:pPr>
      <w:rPr>
        <w:rFonts w:ascii="Symbol" w:hAnsi="Symbol" w:hint="default"/>
      </w:rPr>
    </w:lvl>
    <w:lvl w:ilvl="7" w:tplc="04090003" w:tentative="1">
      <w:start w:val="1"/>
      <w:numFmt w:val="bullet"/>
      <w:lvlText w:val="o"/>
      <w:lvlJc w:val="left"/>
      <w:pPr>
        <w:ind w:left="6249" w:hanging="360"/>
      </w:pPr>
      <w:rPr>
        <w:rFonts w:ascii="Courier New" w:hAnsi="Courier New" w:hint="default"/>
      </w:rPr>
    </w:lvl>
    <w:lvl w:ilvl="8" w:tplc="04090005" w:tentative="1">
      <w:start w:val="1"/>
      <w:numFmt w:val="bullet"/>
      <w:lvlText w:val=""/>
      <w:lvlJc w:val="left"/>
      <w:pPr>
        <w:ind w:left="6969" w:hanging="360"/>
      </w:pPr>
      <w:rPr>
        <w:rFonts w:ascii="Wingdings" w:hAnsi="Wingdings" w:hint="default"/>
      </w:rPr>
    </w:lvl>
  </w:abstractNum>
  <w:abstractNum w:abstractNumId="12" w15:restartNumberingAfterBreak="0">
    <w:nsid w:val="3DC20AD1"/>
    <w:multiLevelType w:val="hybridMultilevel"/>
    <w:tmpl w:val="2AA66D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FF309D8"/>
    <w:multiLevelType w:val="hybridMultilevel"/>
    <w:tmpl w:val="26CE226C"/>
    <w:lvl w:ilvl="0" w:tplc="4B3CD5AE">
      <w:numFmt w:val="bullet"/>
      <w:lvlText w:val="-"/>
      <w:lvlJc w:val="left"/>
      <w:pPr>
        <w:ind w:left="720" w:hanging="360"/>
      </w:pPr>
      <w:rPr>
        <w:rFonts w:ascii="Verdana" w:eastAsiaTheme="minorEastAsia" w:hAnsi="Verdana"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4533401"/>
    <w:multiLevelType w:val="hybridMultilevel"/>
    <w:tmpl w:val="5AAE4CCC"/>
    <w:lvl w:ilvl="0" w:tplc="8CC29364">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BDF33F6"/>
    <w:multiLevelType w:val="hybridMultilevel"/>
    <w:tmpl w:val="C5C469A8"/>
    <w:lvl w:ilvl="0" w:tplc="E1EE004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ED976AD"/>
    <w:multiLevelType w:val="hybridMultilevel"/>
    <w:tmpl w:val="090C93C4"/>
    <w:lvl w:ilvl="0" w:tplc="3228704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2744137"/>
    <w:multiLevelType w:val="hybridMultilevel"/>
    <w:tmpl w:val="27426D3E"/>
    <w:lvl w:ilvl="0" w:tplc="6BFAE608">
      <w:numFmt w:val="bullet"/>
      <w:lvlText w:val=""/>
      <w:lvlJc w:val="left"/>
      <w:pPr>
        <w:ind w:left="-144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3AF04A2"/>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19" w15:restartNumberingAfterBreak="0">
    <w:nsid w:val="657B71F3"/>
    <w:multiLevelType w:val="hybridMultilevel"/>
    <w:tmpl w:val="7B54B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E02C3A"/>
    <w:multiLevelType w:val="hybridMultilevel"/>
    <w:tmpl w:val="C3FA01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17A381B"/>
    <w:multiLevelType w:val="hybridMultilevel"/>
    <w:tmpl w:val="46DA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881A2F"/>
    <w:multiLevelType w:val="hybridMultilevel"/>
    <w:tmpl w:val="907ECB90"/>
    <w:lvl w:ilvl="0" w:tplc="FC68ED88">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2D76F57"/>
    <w:multiLevelType w:val="hybridMultilevel"/>
    <w:tmpl w:val="1B4CBB06"/>
    <w:lvl w:ilvl="0" w:tplc="71729372">
      <w:start w:val="1"/>
      <w:numFmt w:val="decimal"/>
      <w:lvlText w:val="%1."/>
      <w:lvlJc w:val="left"/>
      <w:pPr>
        <w:ind w:left="436" w:hanging="360"/>
      </w:pPr>
      <w:rPr>
        <w:rFonts w:hint="default"/>
        <w:b/>
      </w:rPr>
    </w:lvl>
    <w:lvl w:ilvl="1" w:tplc="0C090019" w:tentative="1">
      <w:start w:val="1"/>
      <w:numFmt w:val="lowerLetter"/>
      <w:lvlText w:val="%2."/>
      <w:lvlJc w:val="left"/>
      <w:pPr>
        <w:ind w:left="1156" w:hanging="360"/>
      </w:pPr>
    </w:lvl>
    <w:lvl w:ilvl="2" w:tplc="0C09001B" w:tentative="1">
      <w:start w:val="1"/>
      <w:numFmt w:val="lowerRoman"/>
      <w:lvlText w:val="%3."/>
      <w:lvlJc w:val="right"/>
      <w:pPr>
        <w:ind w:left="1876" w:hanging="180"/>
      </w:pPr>
    </w:lvl>
    <w:lvl w:ilvl="3" w:tplc="0C09000F" w:tentative="1">
      <w:start w:val="1"/>
      <w:numFmt w:val="decimal"/>
      <w:lvlText w:val="%4."/>
      <w:lvlJc w:val="left"/>
      <w:pPr>
        <w:ind w:left="2596" w:hanging="360"/>
      </w:pPr>
    </w:lvl>
    <w:lvl w:ilvl="4" w:tplc="0C090019" w:tentative="1">
      <w:start w:val="1"/>
      <w:numFmt w:val="lowerLetter"/>
      <w:lvlText w:val="%5."/>
      <w:lvlJc w:val="left"/>
      <w:pPr>
        <w:ind w:left="3316" w:hanging="360"/>
      </w:pPr>
    </w:lvl>
    <w:lvl w:ilvl="5" w:tplc="0C09001B" w:tentative="1">
      <w:start w:val="1"/>
      <w:numFmt w:val="lowerRoman"/>
      <w:lvlText w:val="%6."/>
      <w:lvlJc w:val="right"/>
      <w:pPr>
        <w:ind w:left="4036" w:hanging="180"/>
      </w:pPr>
    </w:lvl>
    <w:lvl w:ilvl="6" w:tplc="0C09000F" w:tentative="1">
      <w:start w:val="1"/>
      <w:numFmt w:val="decimal"/>
      <w:lvlText w:val="%7."/>
      <w:lvlJc w:val="left"/>
      <w:pPr>
        <w:ind w:left="4756" w:hanging="360"/>
      </w:pPr>
    </w:lvl>
    <w:lvl w:ilvl="7" w:tplc="0C090019" w:tentative="1">
      <w:start w:val="1"/>
      <w:numFmt w:val="lowerLetter"/>
      <w:lvlText w:val="%8."/>
      <w:lvlJc w:val="left"/>
      <w:pPr>
        <w:ind w:left="5476" w:hanging="360"/>
      </w:pPr>
    </w:lvl>
    <w:lvl w:ilvl="8" w:tplc="0C09001B" w:tentative="1">
      <w:start w:val="1"/>
      <w:numFmt w:val="lowerRoman"/>
      <w:lvlText w:val="%9."/>
      <w:lvlJc w:val="right"/>
      <w:pPr>
        <w:ind w:left="6196" w:hanging="180"/>
      </w:pPr>
    </w:lvl>
  </w:abstractNum>
  <w:abstractNum w:abstractNumId="24" w15:restartNumberingAfterBreak="0">
    <w:nsid w:val="77461646"/>
    <w:multiLevelType w:val="hybridMultilevel"/>
    <w:tmpl w:val="4C9081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C202B68"/>
    <w:multiLevelType w:val="hybridMultilevel"/>
    <w:tmpl w:val="F4DAEA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FDE4F62"/>
    <w:multiLevelType w:val="hybridMultilevel"/>
    <w:tmpl w:val="24B0E8B0"/>
    <w:lvl w:ilvl="0" w:tplc="A4B8A616">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23"/>
  </w:num>
  <w:num w:numId="4">
    <w:abstractNumId w:val="18"/>
  </w:num>
  <w:num w:numId="5">
    <w:abstractNumId w:val="7"/>
  </w:num>
  <w:num w:numId="6">
    <w:abstractNumId w:val="14"/>
  </w:num>
  <w:num w:numId="7">
    <w:abstractNumId w:val="22"/>
  </w:num>
  <w:num w:numId="8">
    <w:abstractNumId w:val="15"/>
  </w:num>
  <w:num w:numId="9">
    <w:abstractNumId w:val="10"/>
  </w:num>
  <w:num w:numId="10">
    <w:abstractNumId w:val="16"/>
  </w:num>
  <w:num w:numId="11">
    <w:abstractNumId w:val="0"/>
  </w:num>
  <w:num w:numId="12">
    <w:abstractNumId w:val="12"/>
  </w:num>
  <w:num w:numId="13">
    <w:abstractNumId w:val="13"/>
  </w:num>
  <w:num w:numId="14">
    <w:abstractNumId w:val="24"/>
  </w:num>
  <w:num w:numId="15">
    <w:abstractNumId w:val="20"/>
  </w:num>
  <w:num w:numId="16">
    <w:abstractNumId w:val="6"/>
  </w:num>
  <w:num w:numId="17">
    <w:abstractNumId w:val="24"/>
  </w:num>
  <w:num w:numId="18">
    <w:abstractNumId w:val="5"/>
  </w:num>
  <w:num w:numId="19">
    <w:abstractNumId w:val="21"/>
  </w:num>
  <w:num w:numId="20">
    <w:abstractNumId w:val="25"/>
  </w:num>
  <w:num w:numId="21">
    <w:abstractNumId w:val="24"/>
  </w:num>
  <w:num w:numId="22">
    <w:abstractNumId w:val="4"/>
  </w:num>
  <w:num w:numId="23">
    <w:abstractNumId w:val="1"/>
  </w:num>
  <w:num w:numId="24">
    <w:abstractNumId w:val="19"/>
  </w:num>
  <w:num w:numId="25">
    <w:abstractNumId w:val="2"/>
  </w:num>
  <w:num w:numId="26">
    <w:abstractNumId w:val="26"/>
  </w:num>
  <w:num w:numId="27">
    <w:abstractNumId w:val="8"/>
  </w:num>
  <w:num w:numId="28">
    <w:abstractNumId w:val="17"/>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01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WAFVersion" w:val="5.0"/>
  </w:docVars>
  <w:rsids>
    <w:rsidRoot w:val="001B56FD"/>
    <w:rsid w:val="000035F8"/>
    <w:rsid w:val="0001040C"/>
    <w:rsid w:val="0001056D"/>
    <w:rsid w:val="00021BC9"/>
    <w:rsid w:val="00024991"/>
    <w:rsid w:val="000249FA"/>
    <w:rsid w:val="000315FD"/>
    <w:rsid w:val="00031A71"/>
    <w:rsid w:val="00037228"/>
    <w:rsid w:val="00037BFD"/>
    <w:rsid w:val="000416DA"/>
    <w:rsid w:val="00042349"/>
    <w:rsid w:val="00042583"/>
    <w:rsid w:val="000436E6"/>
    <w:rsid w:val="00044020"/>
    <w:rsid w:val="00045F89"/>
    <w:rsid w:val="00046883"/>
    <w:rsid w:val="00053071"/>
    <w:rsid w:val="00054390"/>
    <w:rsid w:val="000544CB"/>
    <w:rsid w:val="00063463"/>
    <w:rsid w:val="00064E57"/>
    <w:rsid w:val="0007419E"/>
    <w:rsid w:val="0008203C"/>
    <w:rsid w:val="00085A98"/>
    <w:rsid w:val="0009205B"/>
    <w:rsid w:val="000A212F"/>
    <w:rsid w:val="000A6E67"/>
    <w:rsid w:val="000A75BF"/>
    <w:rsid w:val="000B118E"/>
    <w:rsid w:val="000B167B"/>
    <w:rsid w:val="000B3CBB"/>
    <w:rsid w:val="000C2400"/>
    <w:rsid w:val="000C4643"/>
    <w:rsid w:val="000D3C9B"/>
    <w:rsid w:val="000D7D9E"/>
    <w:rsid w:val="000E0C0A"/>
    <w:rsid w:val="000E3C01"/>
    <w:rsid w:val="000E3D13"/>
    <w:rsid w:val="000E5A9A"/>
    <w:rsid w:val="000E7CAC"/>
    <w:rsid w:val="000F0138"/>
    <w:rsid w:val="000F1938"/>
    <w:rsid w:val="000F483A"/>
    <w:rsid w:val="000F4C09"/>
    <w:rsid w:val="001056A2"/>
    <w:rsid w:val="00116305"/>
    <w:rsid w:val="001216D4"/>
    <w:rsid w:val="00122498"/>
    <w:rsid w:val="0012640C"/>
    <w:rsid w:val="00133A12"/>
    <w:rsid w:val="00134AF0"/>
    <w:rsid w:val="00140C0B"/>
    <w:rsid w:val="001415FF"/>
    <w:rsid w:val="00141FDD"/>
    <w:rsid w:val="0014291D"/>
    <w:rsid w:val="00143D0C"/>
    <w:rsid w:val="00144950"/>
    <w:rsid w:val="001532FC"/>
    <w:rsid w:val="00153F07"/>
    <w:rsid w:val="00154083"/>
    <w:rsid w:val="00164C0A"/>
    <w:rsid w:val="00170F7B"/>
    <w:rsid w:val="0017535B"/>
    <w:rsid w:val="001817C7"/>
    <w:rsid w:val="0018382E"/>
    <w:rsid w:val="00185C4E"/>
    <w:rsid w:val="00194A4C"/>
    <w:rsid w:val="001A3B50"/>
    <w:rsid w:val="001B1FAF"/>
    <w:rsid w:val="001B56FD"/>
    <w:rsid w:val="001C38A2"/>
    <w:rsid w:val="001C4785"/>
    <w:rsid w:val="001C4FE9"/>
    <w:rsid w:val="001C6FCB"/>
    <w:rsid w:val="001C7973"/>
    <w:rsid w:val="001D17C0"/>
    <w:rsid w:val="001D53E2"/>
    <w:rsid w:val="001D6197"/>
    <w:rsid w:val="001D76EA"/>
    <w:rsid w:val="001E2275"/>
    <w:rsid w:val="001E5838"/>
    <w:rsid w:val="001F1547"/>
    <w:rsid w:val="001F61F4"/>
    <w:rsid w:val="002021A6"/>
    <w:rsid w:val="0020642D"/>
    <w:rsid w:val="002071A2"/>
    <w:rsid w:val="00207AE4"/>
    <w:rsid w:val="00217DB8"/>
    <w:rsid w:val="00221553"/>
    <w:rsid w:val="00222850"/>
    <w:rsid w:val="00223BD5"/>
    <w:rsid w:val="002318EA"/>
    <w:rsid w:val="0023606A"/>
    <w:rsid w:val="00236799"/>
    <w:rsid w:val="002408A3"/>
    <w:rsid w:val="00242A29"/>
    <w:rsid w:val="002432B1"/>
    <w:rsid w:val="002434DB"/>
    <w:rsid w:val="0024360A"/>
    <w:rsid w:val="00243C01"/>
    <w:rsid w:val="00243DEE"/>
    <w:rsid w:val="0024409A"/>
    <w:rsid w:val="00246323"/>
    <w:rsid w:val="002515FE"/>
    <w:rsid w:val="0025251D"/>
    <w:rsid w:val="002636D5"/>
    <w:rsid w:val="00275CB1"/>
    <w:rsid w:val="00277F87"/>
    <w:rsid w:val="002857FC"/>
    <w:rsid w:val="002901CB"/>
    <w:rsid w:val="002926B0"/>
    <w:rsid w:val="00297018"/>
    <w:rsid w:val="002A3462"/>
    <w:rsid w:val="002A3816"/>
    <w:rsid w:val="002B1CD7"/>
    <w:rsid w:val="002B1E66"/>
    <w:rsid w:val="002B33E6"/>
    <w:rsid w:val="002B3DF0"/>
    <w:rsid w:val="002B58D0"/>
    <w:rsid w:val="002B7F4B"/>
    <w:rsid w:val="002C078D"/>
    <w:rsid w:val="002C13AC"/>
    <w:rsid w:val="002C5E49"/>
    <w:rsid w:val="002D05BE"/>
    <w:rsid w:val="002D1E86"/>
    <w:rsid w:val="002D2118"/>
    <w:rsid w:val="002D297E"/>
    <w:rsid w:val="002D3121"/>
    <w:rsid w:val="002D7FBF"/>
    <w:rsid w:val="002E0AB5"/>
    <w:rsid w:val="002E7A9C"/>
    <w:rsid w:val="002F1C67"/>
    <w:rsid w:val="002F2B0A"/>
    <w:rsid w:val="002F652D"/>
    <w:rsid w:val="0030031C"/>
    <w:rsid w:val="003030EB"/>
    <w:rsid w:val="00303EAF"/>
    <w:rsid w:val="0031182C"/>
    <w:rsid w:val="00325144"/>
    <w:rsid w:val="0032618E"/>
    <w:rsid w:val="0032684C"/>
    <w:rsid w:val="003310F2"/>
    <w:rsid w:val="00332FC5"/>
    <w:rsid w:val="003444C0"/>
    <w:rsid w:val="00344DA9"/>
    <w:rsid w:val="00344F33"/>
    <w:rsid w:val="0035118D"/>
    <w:rsid w:val="0035257A"/>
    <w:rsid w:val="00354209"/>
    <w:rsid w:val="00354F27"/>
    <w:rsid w:val="00355494"/>
    <w:rsid w:val="0036030C"/>
    <w:rsid w:val="003630D9"/>
    <w:rsid w:val="00363169"/>
    <w:rsid w:val="0036435B"/>
    <w:rsid w:val="00364572"/>
    <w:rsid w:val="00365895"/>
    <w:rsid w:val="0036719B"/>
    <w:rsid w:val="0037025D"/>
    <w:rsid w:val="00373AF6"/>
    <w:rsid w:val="00373BA7"/>
    <w:rsid w:val="003743D7"/>
    <w:rsid w:val="00374446"/>
    <w:rsid w:val="00375423"/>
    <w:rsid w:val="003848AC"/>
    <w:rsid w:val="003877E1"/>
    <w:rsid w:val="003931BB"/>
    <w:rsid w:val="00395965"/>
    <w:rsid w:val="00396D4B"/>
    <w:rsid w:val="003A01B6"/>
    <w:rsid w:val="003A6511"/>
    <w:rsid w:val="003B14EC"/>
    <w:rsid w:val="003B51AC"/>
    <w:rsid w:val="003B67B3"/>
    <w:rsid w:val="003C20F7"/>
    <w:rsid w:val="003C29EC"/>
    <w:rsid w:val="003C31FA"/>
    <w:rsid w:val="003C4D1D"/>
    <w:rsid w:val="003C5144"/>
    <w:rsid w:val="003E1855"/>
    <w:rsid w:val="003E2807"/>
    <w:rsid w:val="003E2D06"/>
    <w:rsid w:val="003E388A"/>
    <w:rsid w:val="003E78A5"/>
    <w:rsid w:val="003F133A"/>
    <w:rsid w:val="003F33C0"/>
    <w:rsid w:val="003F35BE"/>
    <w:rsid w:val="003F5E1A"/>
    <w:rsid w:val="00400BA8"/>
    <w:rsid w:val="00401A38"/>
    <w:rsid w:val="00403407"/>
    <w:rsid w:val="00404022"/>
    <w:rsid w:val="00405CBB"/>
    <w:rsid w:val="00406D99"/>
    <w:rsid w:val="00406EBE"/>
    <w:rsid w:val="004172F7"/>
    <w:rsid w:val="00420274"/>
    <w:rsid w:val="00420F5E"/>
    <w:rsid w:val="004269A1"/>
    <w:rsid w:val="00427DAA"/>
    <w:rsid w:val="0043131E"/>
    <w:rsid w:val="00434B07"/>
    <w:rsid w:val="004351C2"/>
    <w:rsid w:val="0043566C"/>
    <w:rsid w:val="00435D37"/>
    <w:rsid w:val="00455288"/>
    <w:rsid w:val="00461605"/>
    <w:rsid w:val="00462198"/>
    <w:rsid w:val="00466E6F"/>
    <w:rsid w:val="004726F2"/>
    <w:rsid w:val="00477E7A"/>
    <w:rsid w:val="00485707"/>
    <w:rsid w:val="004859EC"/>
    <w:rsid w:val="00486C76"/>
    <w:rsid w:val="00487E1A"/>
    <w:rsid w:val="0049476E"/>
    <w:rsid w:val="00494C02"/>
    <w:rsid w:val="00496757"/>
    <w:rsid w:val="00497941"/>
    <w:rsid w:val="004A5A02"/>
    <w:rsid w:val="004B1406"/>
    <w:rsid w:val="004B5B39"/>
    <w:rsid w:val="004B5DF1"/>
    <w:rsid w:val="004B696D"/>
    <w:rsid w:val="004C02EF"/>
    <w:rsid w:val="004C78C0"/>
    <w:rsid w:val="004D22E2"/>
    <w:rsid w:val="004D3599"/>
    <w:rsid w:val="004D3B17"/>
    <w:rsid w:val="004E082F"/>
    <w:rsid w:val="004E2222"/>
    <w:rsid w:val="004E482B"/>
    <w:rsid w:val="004E7B17"/>
    <w:rsid w:val="004F1630"/>
    <w:rsid w:val="004F596D"/>
    <w:rsid w:val="004F6BFA"/>
    <w:rsid w:val="00502AC7"/>
    <w:rsid w:val="005172BA"/>
    <w:rsid w:val="0052249A"/>
    <w:rsid w:val="005224DE"/>
    <w:rsid w:val="00523164"/>
    <w:rsid w:val="0053533D"/>
    <w:rsid w:val="00541FC5"/>
    <w:rsid w:val="00542097"/>
    <w:rsid w:val="00542AEA"/>
    <w:rsid w:val="00545867"/>
    <w:rsid w:val="0055572C"/>
    <w:rsid w:val="00555FE6"/>
    <w:rsid w:val="00560DAA"/>
    <w:rsid w:val="005619CD"/>
    <w:rsid w:val="00567152"/>
    <w:rsid w:val="00570340"/>
    <w:rsid w:val="00573863"/>
    <w:rsid w:val="00585108"/>
    <w:rsid w:val="00585D6B"/>
    <w:rsid w:val="005913F6"/>
    <w:rsid w:val="0059182C"/>
    <w:rsid w:val="00591BD6"/>
    <w:rsid w:val="00594437"/>
    <w:rsid w:val="0059464A"/>
    <w:rsid w:val="005973DD"/>
    <w:rsid w:val="005A22A9"/>
    <w:rsid w:val="005A38B5"/>
    <w:rsid w:val="005A54AD"/>
    <w:rsid w:val="005A6410"/>
    <w:rsid w:val="005B19D8"/>
    <w:rsid w:val="005B46E7"/>
    <w:rsid w:val="005B5D1B"/>
    <w:rsid w:val="005B6AD6"/>
    <w:rsid w:val="005C11CB"/>
    <w:rsid w:val="005C4B5B"/>
    <w:rsid w:val="005D14FC"/>
    <w:rsid w:val="005D1C10"/>
    <w:rsid w:val="005D1F0E"/>
    <w:rsid w:val="005D5BE2"/>
    <w:rsid w:val="005D5E03"/>
    <w:rsid w:val="005D7300"/>
    <w:rsid w:val="005E5822"/>
    <w:rsid w:val="005E5AAC"/>
    <w:rsid w:val="005E7E52"/>
    <w:rsid w:val="005F109C"/>
    <w:rsid w:val="00600420"/>
    <w:rsid w:val="00606C3E"/>
    <w:rsid w:val="00610C03"/>
    <w:rsid w:val="00610D2D"/>
    <w:rsid w:val="006161BD"/>
    <w:rsid w:val="00617C70"/>
    <w:rsid w:val="00624A31"/>
    <w:rsid w:val="006256A6"/>
    <w:rsid w:val="00630611"/>
    <w:rsid w:val="00632C99"/>
    <w:rsid w:val="00634A69"/>
    <w:rsid w:val="00635159"/>
    <w:rsid w:val="0063727D"/>
    <w:rsid w:val="006372DC"/>
    <w:rsid w:val="006411FB"/>
    <w:rsid w:val="0064159C"/>
    <w:rsid w:val="006429F1"/>
    <w:rsid w:val="00642A59"/>
    <w:rsid w:val="00652888"/>
    <w:rsid w:val="00665921"/>
    <w:rsid w:val="0066674E"/>
    <w:rsid w:val="00672114"/>
    <w:rsid w:val="0067587C"/>
    <w:rsid w:val="006768E1"/>
    <w:rsid w:val="00681E0B"/>
    <w:rsid w:val="00696C4B"/>
    <w:rsid w:val="006A0962"/>
    <w:rsid w:val="006B23D0"/>
    <w:rsid w:val="006B28D4"/>
    <w:rsid w:val="006C63C3"/>
    <w:rsid w:val="006C70BC"/>
    <w:rsid w:val="006C7F5F"/>
    <w:rsid w:val="006D0A0F"/>
    <w:rsid w:val="006D27D9"/>
    <w:rsid w:val="006D405A"/>
    <w:rsid w:val="006D73DB"/>
    <w:rsid w:val="006E164D"/>
    <w:rsid w:val="006E3230"/>
    <w:rsid w:val="006E3F95"/>
    <w:rsid w:val="006F1EDC"/>
    <w:rsid w:val="006F39C4"/>
    <w:rsid w:val="006F6DCB"/>
    <w:rsid w:val="007014F8"/>
    <w:rsid w:val="00711F86"/>
    <w:rsid w:val="00713EB5"/>
    <w:rsid w:val="0071516D"/>
    <w:rsid w:val="00723DE2"/>
    <w:rsid w:val="007264B6"/>
    <w:rsid w:val="00726B1B"/>
    <w:rsid w:val="00730EA3"/>
    <w:rsid w:val="00735B13"/>
    <w:rsid w:val="00736B59"/>
    <w:rsid w:val="0074098B"/>
    <w:rsid w:val="00741B67"/>
    <w:rsid w:val="00743C36"/>
    <w:rsid w:val="0074476A"/>
    <w:rsid w:val="00747FFC"/>
    <w:rsid w:val="0075046E"/>
    <w:rsid w:val="00751217"/>
    <w:rsid w:val="00754565"/>
    <w:rsid w:val="00760326"/>
    <w:rsid w:val="007621CF"/>
    <w:rsid w:val="00765A89"/>
    <w:rsid w:val="00770C03"/>
    <w:rsid w:val="00771A33"/>
    <w:rsid w:val="007726AB"/>
    <w:rsid w:val="00775884"/>
    <w:rsid w:val="00782771"/>
    <w:rsid w:val="00783594"/>
    <w:rsid w:val="0078536C"/>
    <w:rsid w:val="00790038"/>
    <w:rsid w:val="00793AF1"/>
    <w:rsid w:val="007955BB"/>
    <w:rsid w:val="00796DF1"/>
    <w:rsid w:val="007A073F"/>
    <w:rsid w:val="007A2C5C"/>
    <w:rsid w:val="007B097A"/>
    <w:rsid w:val="007B1A98"/>
    <w:rsid w:val="007B36A9"/>
    <w:rsid w:val="007B4481"/>
    <w:rsid w:val="007D11F8"/>
    <w:rsid w:val="007D4D38"/>
    <w:rsid w:val="007D7618"/>
    <w:rsid w:val="007E05FC"/>
    <w:rsid w:val="007E2D4F"/>
    <w:rsid w:val="007E341C"/>
    <w:rsid w:val="007E364A"/>
    <w:rsid w:val="007E6BC2"/>
    <w:rsid w:val="007F0B44"/>
    <w:rsid w:val="007F54E1"/>
    <w:rsid w:val="007F6F14"/>
    <w:rsid w:val="00803DC5"/>
    <w:rsid w:val="00811C2C"/>
    <w:rsid w:val="008120F6"/>
    <w:rsid w:val="00813557"/>
    <w:rsid w:val="00814BD2"/>
    <w:rsid w:val="0081513D"/>
    <w:rsid w:val="00816590"/>
    <w:rsid w:val="00823745"/>
    <w:rsid w:val="008313E1"/>
    <w:rsid w:val="008559C0"/>
    <w:rsid w:val="00870FC9"/>
    <w:rsid w:val="0087267F"/>
    <w:rsid w:val="00876741"/>
    <w:rsid w:val="00882771"/>
    <w:rsid w:val="00891067"/>
    <w:rsid w:val="00892DD3"/>
    <w:rsid w:val="00896661"/>
    <w:rsid w:val="00896BE6"/>
    <w:rsid w:val="008A0D2B"/>
    <w:rsid w:val="008A1CFD"/>
    <w:rsid w:val="008A4224"/>
    <w:rsid w:val="008D0051"/>
    <w:rsid w:val="008D128C"/>
    <w:rsid w:val="008D408F"/>
    <w:rsid w:val="008E180A"/>
    <w:rsid w:val="008E1904"/>
    <w:rsid w:val="008E2F4B"/>
    <w:rsid w:val="008E3E53"/>
    <w:rsid w:val="008E4D04"/>
    <w:rsid w:val="008E5E1C"/>
    <w:rsid w:val="008E6C9C"/>
    <w:rsid w:val="008F58D4"/>
    <w:rsid w:val="008F605A"/>
    <w:rsid w:val="008F7DED"/>
    <w:rsid w:val="00902F56"/>
    <w:rsid w:val="00905D46"/>
    <w:rsid w:val="00911DC9"/>
    <w:rsid w:val="00913C8B"/>
    <w:rsid w:val="009249A3"/>
    <w:rsid w:val="0092753C"/>
    <w:rsid w:val="0093223E"/>
    <w:rsid w:val="009334F5"/>
    <w:rsid w:val="009347F5"/>
    <w:rsid w:val="009377B0"/>
    <w:rsid w:val="00937D18"/>
    <w:rsid w:val="00940C88"/>
    <w:rsid w:val="009428C3"/>
    <w:rsid w:val="00942CEA"/>
    <w:rsid w:val="009466B6"/>
    <w:rsid w:val="00946DA1"/>
    <w:rsid w:val="00952275"/>
    <w:rsid w:val="009565B9"/>
    <w:rsid w:val="00956B5A"/>
    <w:rsid w:val="00957283"/>
    <w:rsid w:val="00957660"/>
    <w:rsid w:val="00961DCB"/>
    <w:rsid w:val="00967E21"/>
    <w:rsid w:val="00976263"/>
    <w:rsid w:val="009779C1"/>
    <w:rsid w:val="00980442"/>
    <w:rsid w:val="009816D9"/>
    <w:rsid w:val="0098381F"/>
    <w:rsid w:val="00985AC4"/>
    <w:rsid w:val="00990987"/>
    <w:rsid w:val="00992FF9"/>
    <w:rsid w:val="00994FE1"/>
    <w:rsid w:val="0099521B"/>
    <w:rsid w:val="009A3A98"/>
    <w:rsid w:val="009B649B"/>
    <w:rsid w:val="009B77D3"/>
    <w:rsid w:val="009B7BA0"/>
    <w:rsid w:val="009C09CB"/>
    <w:rsid w:val="009D0953"/>
    <w:rsid w:val="009D2131"/>
    <w:rsid w:val="009D5E1F"/>
    <w:rsid w:val="009E4074"/>
    <w:rsid w:val="009E529A"/>
    <w:rsid w:val="009F0837"/>
    <w:rsid w:val="009F2302"/>
    <w:rsid w:val="009F4504"/>
    <w:rsid w:val="009F6866"/>
    <w:rsid w:val="00A00371"/>
    <w:rsid w:val="00A01B3F"/>
    <w:rsid w:val="00A037AB"/>
    <w:rsid w:val="00A044DB"/>
    <w:rsid w:val="00A149A0"/>
    <w:rsid w:val="00A1560E"/>
    <w:rsid w:val="00A17710"/>
    <w:rsid w:val="00A217A1"/>
    <w:rsid w:val="00A22CFA"/>
    <w:rsid w:val="00A244C6"/>
    <w:rsid w:val="00A40826"/>
    <w:rsid w:val="00A45556"/>
    <w:rsid w:val="00A52E22"/>
    <w:rsid w:val="00A54701"/>
    <w:rsid w:val="00A611FA"/>
    <w:rsid w:val="00A63671"/>
    <w:rsid w:val="00A652AC"/>
    <w:rsid w:val="00A67BCA"/>
    <w:rsid w:val="00A705C9"/>
    <w:rsid w:val="00A7503F"/>
    <w:rsid w:val="00A7531F"/>
    <w:rsid w:val="00A776F2"/>
    <w:rsid w:val="00A86399"/>
    <w:rsid w:val="00A917D5"/>
    <w:rsid w:val="00A979F9"/>
    <w:rsid w:val="00A97D63"/>
    <w:rsid w:val="00AA0958"/>
    <w:rsid w:val="00AA322C"/>
    <w:rsid w:val="00AA402E"/>
    <w:rsid w:val="00AA7F67"/>
    <w:rsid w:val="00AB1ABA"/>
    <w:rsid w:val="00AB3453"/>
    <w:rsid w:val="00AB62B5"/>
    <w:rsid w:val="00AC4166"/>
    <w:rsid w:val="00AC514C"/>
    <w:rsid w:val="00AC5B5A"/>
    <w:rsid w:val="00AC6592"/>
    <w:rsid w:val="00AD137A"/>
    <w:rsid w:val="00AD1604"/>
    <w:rsid w:val="00AD7EA2"/>
    <w:rsid w:val="00AE0A1A"/>
    <w:rsid w:val="00AF1CC9"/>
    <w:rsid w:val="00AF23A2"/>
    <w:rsid w:val="00AF4237"/>
    <w:rsid w:val="00AF744E"/>
    <w:rsid w:val="00B0269B"/>
    <w:rsid w:val="00B03ACE"/>
    <w:rsid w:val="00B04CE9"/>
    <w:rsid w:val="00B10879"/>
    <w:rsid w:val="00B142EB"/>
    <w:rsid w:val="00B14A9F"/>
    <w:rsid w:val="00B15FDD"/>
    <w:rsid w:val="00B22955"/>
    <w:rsid w:val="00B24662"/>
    <w:rsid w:val="00B27CB6"/>
    <w:rsid w:val="00B30438"/>
    <w:rsid w:val="00B33E9B"/>
    <w:rsid w:val="00B3495D"/>
    <w:rsid w:val="00B35385"/>
    <w:rsid w:val="00B36DF3"/>
    <w:rsid w:val="00B41A04"/>
    <w:rsid w:val="00B452F1"/>
    <w:rsid w:val="00B47E0F"/>
    <w:rsid w:val="00B53834"/>
    <w:rsid w:val="00B5703E"/>
    <w:rsid w:val="00B61C50"/>
    <w:rsid w:val="00B65088"/>
    <w:rsid w:val="00B655CF"/>
    <w:rsid w:val="00B764A1"/>
    <w:rsid w:val="00B801EE"/>
    <w:rsid w:val="00B80982"/>
    <w:rsid w:val="00B82713"/>
    <w:rsid w:val="00B90168"/>
    <w:rsid w:val="00B912AD"/>
    <w:rsid w:val="00B9358F"/>
    <w:rsid w:val="00BB2191"/>
    <w:rsid w:val="00BB58A2"/>
    <w:rsid w:val="00BB7152"/>
    <w:rsid w:val="00BB7A58"/>
    <w:rsid w:val="00BC0A92"/>
    <w:rsid w:val="00BC33D8"/>
    <w:rsid w:val="00BC46D6"/>
    <w:rsid w:val="00BC5CE3"/>
    <w:rsid w:val="00BC63F8"/>
    <w:rsid w:val="00BC7DAD"/>
    <w:rsid w:val="00BD00C7"/>
    <w:rsid w:val="00BD7779"/>
    <w:rsid w:val="00BE00F5"/>
    <w:rsid w:val="00BE12B1"/>
    <w:rsid w:val="00BE1C4E"/>
    <w:rsid w:val="00BE4519"/>
    <w:rsid w:val="00BF02F3"/>
    <w:rsid w:val="00C006A3"/>
    <w:rsid w:val="00C01A7F"/>
    <w:rsid w:val="00C033E9"/>
    <w:rsid w:val="00C070F7"/>
    <w:rsid w:val="00C14427"/>
    <w:rsid w:val="00C14449"/>
    <w:rsid w:val="00C17BF7"/>
    <w:rsid w:val="00C21893"/>
    <w:rsid w:val="00C2248E"/>
    <w:rsid w:val="00C2348B"/>
    <w:rsid w:val="00C23774"/>
    <w:rsid w:val="00C30FF4"/>
    <w:rsid w:val="00C37255"/>
    <w:rsid w:val="00C422B9"/>
    <w:rsid w:val="00C63420"/>
    <w:rsid w:val="00C7439B"/>
    <w:rsid w:val="00C76AAF"/>
    <w:rsid w:val="00C80B78"/>
    <w:rsid w:val="00C90E0A"/>
    <w:rsid w:val="00C9484D"/>
    <w:rsid w:val="00C97622"/>
    <w:rsid w:val="00CA07E0"/>
    <w:rsid w:val="00CA2113"/>
    <w:rsid w:val="00CA2B56"/>
    <w:rsid w:val="00CA41A6"/>
    <w:rsid w:val="00CA53F3"/>
    <w:rsid w:val="00CA64F0"/>
    <w:rsid w:val="00CA7C87"/>
    <w:rsid w:val="00CB0AA3"/>
    <w:rsid w:val="00CB3F98"/>
    <w:rsid w:val="00CB56B1"/>
    <w:rsid w:val="00CB5C6D"/>
    <w:rsid w:val="00CC2F6A"/>
    <w:rsid w:val="00CC3588"/>
    <w:rsid w:val="00CC3994"/>
    <w:rsid w:val="00CC64DA"/>
    <w:rsid w:val="00CC781B"/>
    <w:rsid w:val="00CD03C6"/>
    <w:rsid w:val="00CD0CD8"/>
    <w:rsid w:val="00CD2BC3"/>
    <w:rsid w:val="00CD336E"/>
    <w:rsid w:val="00CD4E87"/>
    <w:rsid w:val="00CE3191"/>
    <w:rsid w:val="00CE3F6D"/>
    <w:rsid w:val="00CE6564"/>
    <w:rsid w:val="00CF351F"/>
    <w:rsid w:val="00CF4686"/>
    <w:rsid w:val="00CF5F5C"/>
    <w:rsid w:val="00D01625"/>
    <w:rsid w:val="00D10A79"/>
    <w:rsid w:val="00D12D6D"/>
    <w:rsid w:val="00D151D6"/>
    <w:rsid w:val="00D22A30"/>
    <w:rsid w:val="00D24E9B"/>
    <w:rsid w:val="00D24FC2"/>
    <w:rsid w:val="00D253DD"/>
    <w:rsid w:val="00D30282"/>
    <w:rsid w:val="00D31928"/>
    <w:rsid w:val="00D3212B"/>
    <w:rsid w:val="00D34AD2"/>
    <w:rsid w:val="00D4321D"/>
    <w:rsid w:val="00D441C7"/>
    <w:rsid w:val="00D4666E"/>
    <w:rsid w:val="00D47264"/>
    <w:rsid w:val="00D55F67"/>
    <w:rsid w:val="00D679DE"/>
    <w:rsid w:val="00D73088"/>
    <w:rsid w:val="00D80A91"/>
    <w:rsid w:val="00D866BE"/>
    <w:rsid w:val="00D86B95"/>
    <w:rsid w:val="00D90416"/>
    <w:rsid w:val="00D95A76"/>
    <w:rsid w:val="00D977F7"/>
    <w:rsid w:val="00DA5164"/>
    <w:rsid w:val="00DB2915"/>
    <w:rsid w:val="00DB2AA0"/>
    <w:rsid w:val="00DB3CC3"/>
    <w:rsid w:val="00DD1ED0"/>
    <w:rsid w:val="00DD55AC"/>
    <w:rsid w:val="00DD741A"/>
    <w:rsid w:val="00DD793E"/>
    <w:rsid w:val="00DE1D2B"/>
    <w:rsid w:val="00DE22D7"/>
    <w:rsid w:val="00DE22F0"/>
    <w:rsid w:val="00DE4974"/>
    <w:rsid w:val="00DE7226"/>
    <w:rsid w:val="00DE7F5E"/>
    <w:rsid w:val="00DF0143"/>
    <w:rsid w:val="00DF12A6"/>
    <w:rsid w:val="00DF1895"/>
    <w:rsid w:val="00DF2D47"/>
    <w:rsid w:val="00DF5072"/>
    <w:rsid w:val="00DF776A"/>
    <w:rsid w:val="00E01816"/>
    <w:rsid w:val="00E02E67"/>
    <w:rsid w:val="00E1305F"/>
    <w:rsid w:val="00E139C2"/>
    <w:rsid w:val="00E206C6"/>
    <w:rsid w:val="00E232B4"/>
    <w:rsid w:val="00E23EAA"/>
    <w:rsid w:val="00E31026"/>
    <w:rsid w:val="00E41E33"/>
    <w:rsid w:val="00E4321B"/>
    <w:rsid w:val="00E55585"/>
    <w:rsid w:val="00E55B38"/>
    <w:rsid w:val="00E6349B"/>
    <w:rsid w:val="00E70DDD"/>
    <w:rsid w:val="00E71103"/>
    <w:rsid w:val="00E72402"/>
    <w:rsid w:val="00E83F2D"/>
    <w:rsid w:val="00E84A41"/>
    <w:rsid w:val="00E863AA"/>
    <w:rsid w:val="00E87F80"/>
    <w:rsid w:val="00E9517B"/>
    <w:rsid w:val="00EA7B1D"/>
    <w:rsid w:val="00EB2F94"/>
    <w:rsid w:val="00EB7187"/>
    <w:rsid w:val="00EC36EF"/>
    <w:rsid w:val="00ED1E73"/>
    <w:rsid w:val="00ED2D6A"/>
    <w:rsid w:val="00ED42CD"/>
    <w:rsid w:val="00EE2E80"/>
    <w:rsid w:val="00EE4E9F"/>
    <w:rsid w:val="00EF34C5"/>
    <w:rsid w:val="00EF45B0"/>
    <w:rsid w:val="00EF4A49"/>
    <w:rsid w:val="00F0117A"/>
    <w:rsid w:val="00F06390"/>
    <w:rsid w:val="00F16626"/>
    <w:rsid w:val="00F17346"/>
    <w:rsid w:val="00F20F2A"/>
    <w:rsid w:val="00F24AAB"/>
    <w:rsid w:val="00F301ED"/>
    <w:rsid w:val="00F30FDD"/>
    <w:rsid w:val="00F434FD"/>
    <w:rsid w:val="00F51983"/>
    <w:rsid w:val="00F55338"/>
    <w:rsid w:val="00F577F1"/>
    <w:rsid w:val="00F60529"/>
    <w:rsid w:val="00F623AA"/>
    <w:rsid w:val="00F62A5F"/>
    <w:rsid w:val="00F63FB7"/>
    <w:rsid w:val="00F63FD5"/>
    <w:rsid w:val="00F751EE"/>
    <w:rsid w:val="00F75E61"/>
    <w:rsid w:val="00F75EBB"/>
    <w:rsid w:val="00F7612F"/>
    <w:rsid w:val="00F806E9"/>
    <w:rsid w:val="00F81224"/>
    <w:rsid w:val="00F814B1"/>
    <w:rsid w:val="00F82360"/>
    <w:rsid w:val="00F83ABB"/>
    <w:rsid w:val="00F8647B"/>
    <w:rsid w:val="00F91037"/>
    <w:rsid w:val="00F91F5F"/>
    <w:rsid w:val="00FA04A4"/>
    <w:rsid w:val="00FA5301"/>
    <w:rsid w:val="00FB1E54"/>
    <w:rsid w:val="00FB3FDD"/>
    <w:rsid w:val="00FB5140"/>
    <w:rsid w:val="00FB56E3"/>
    <w:rsid w:val="00FC1BAF"/>
    <w:rsid w:val="00FC252B"/>
    <w:rsid w:val="00FD647D"/>
    <w:rsid w:val="00FE2ED8"/>
    <w:rsid w:val="00FF1E5E"/>
    <w:rsid w:val="00FF20FE"/>
    <w:rsid w:val="00FF5A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0113"/>
    <o:shapelayout v:ext="edit">
      <o:idmap v:ext="edit" data="1"/>
    </o:shapelayout>
  </w:shapeDefaults>
  <w:decimalSymbol w:val="."/>
  <w:listSeparator w:val=","/>
  <w14:docId w14:val="7F598DE0"/>
  <w15:docId w15:val="{728D43D1-CA05-4B7E-BC1C-340B10D4F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56FD"/>
    <w:pPr>
      <w:tabs>
        <w:tab w:val="center" w:pos="4320"/>
        <w:tab w:val="right" w:pos="8640"/>
      </w:tabs>
    </w:pPr>
  </w:style>
  <w:style w:type="character" w:customStyle="1" w:styleId="HeaderChar">
    <w:name w:val="Header Char"/>
    <w:basedOn w:val="DefaultParagraphFont"/>
    <w:link w:val="Header"/>
    <w:uiPriority w:val="99"/>
    <w:rsid w:val="001B56FD"/>
    <w:rPr>
      <w:lang w:val="en-AU"/>
    </w:rPr>
  </w:style>
  <w:style w:type="paragraph" w:styleId="Footer">
    <w:name w:val="footer"/>
    <w:basedOn w:val="Normal"/>
    <w:link w:val="FooterChar"/>
    <w:uiPriority w:val="99"/>
    <w:unhideWhenUsed/>
    <w:rsid w:val="001B56FD"/>
    <w:pPr>
      <w:tabs>
        <w:tab w:val="center" w:pos="4320"/>
        <w:tab w:val="right" w:pos="8640"/>
      </w:tabs>
    </w:pPr>
  </w:style>
  <w:style w:type="character" w:customStyle="1" w:styleId="FooterChar">
    <w:name w:val="Footer Char"/>
    <w:basedOn w:val="DefaultParagraphFont"/>
    <w:link w:val="Footer"/>
    <w:uiPriority w:val="99"/>
    <w:rsid w:val="001B56FD"/>
    <w:rPr>
      <w:lang w:val="en-AU"/>
    </w:rPr>
  </w:style>
  <w:style w:type="paragraph" w:styleId="BalloonText">
    <w:name w:val="Balloon Text"/>
    <w:basedOn w:val="Normal"/>
    <w:link w:val="BalloonTextChar"/>
    <w:uiPriority w:val="99"/>
    <w:semiHidden/>
    <w:unhideWhenUsed/>
    <w:rsid w:val="001B56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56FD"/>
    <w:rPr>
      <w:rFonts w:ascii="Lucida Grande" w:hAnsi="Lucida Grande" w:cs="Lucida Grande"/>
      <w:sz w:val="18"/>
      <w:szCs w:val="18"/>
      <w:lang w:val="en-AU"/>
    </w:rPr>
  </w:style>
  <w:style w:type="character" w:styleId="PageNumber">
    <w:name w:val="page number"/>
    <w:basedOn w:val="DefaultParagraphFont"/>
    <w:uiPriority w:val="99"/>
    <w:semiHidden/>
    <w:unhideWhenUsed/>
    <w:rsid w:val="004B696D"/>
  </w:style>
  <w:style w:type="paragraph" w:styleId="ListParagraph">
    <w:name w:val="List Paragraph"/>
    <w:basedOn w:val="Normal"/>
    <w:uiPriority w:val="34"/>
    <w:qFormat/>
    <w:rsid w:val="003A01B6"/>
    <w:pPr>
      <w:ind w:left="720"/>
      <w:contextualSpacing/>
    </w:pPr>
  </w:style>
  <w:style w:type="paragraph" w:customStyle="1" w:styleId="Body">
    <w:name w:val="Body"/>
    <w:basedOn w:val="Normal"/>
    <w:link w:val="BodyChar"/>
    <w:autoRedefine/>
    <w:rsid w:val="00DD1ED0"/>
    <w:pPr>
      <w:spacing w:after="120" w:line="230" w:lineRule="exact"/>
    </w:pPr>
    <w:rPr>
      <w:rFonts w:ascii="Verdana" w:hAnsi="Verdana" w:cs="Times New Roman"/>
      <w:sz w:val="18"/>
      <w:szCs w:val="18"/>
      <w:lang w:val="en-US" w:eastAsia="en-AU"/>
    </w:rPr>
  </w:style>
  <w:style w:type="character" w:customStyle="1" w:styleId="BodyChar">
    <w:name w:val="Body Char"/>
    <w:basedOn w:val="DefaultParagraphFont"/>
    <w:link w:val="Body"/>
    <w:rsid w:val="00DD1ED0"/>
    <w:rPr>
      <w:rFonts w:ascii="Verdana" w:hAnsi="Verdana" w:cs="Times New Roman"/>
      <w:sz w:val="18"/>
      <w:szCs w:val="18"/>
      <w:lang w:eastAsia="en-AU"/>
    </w:rPr>
  </w:style>
  <w:style w:type="paragraph" w:customStyle="1" w:styleId="TableHeading">
    <w:name w:val="TableHeading"/>
    <w:basedOn w:val="Normal"/>
    <w:autoRedefine/>
    <w:rsid w:val="002B7F4B"/>
    <w:pPr>
      <w:spacing w:before="57" w:after="57" w:line="200" w:lineRule="exact"/>
    </w:pPr>
    <w:rPr>
      <w:rFonts w:ascii="Verdana" w:eastAsia="Times New Roman" w:hAnsi="Verdana" w:cs="Times New Roman"/>
      <w:b/>
      <w:color w:val="FFFFFF" w:themeColor="background1"/>
      <w:sz w:val="16"/>
      <w:szCs w:val="16"/>
      <w:lang w:val="en-US"/>
    </w:rPr>
  </w:style>
  <w:style w:type="paragraph" w:customStyle="1" w:styleId="Footnote">
    <w:name w:val="Footnote"/>
    <w:basedOn w:val="Normal"/>
    <w:qFormat/>
    <w:rsid w:val="002B7F4B"/>
    <w:pPr>
      <w:spacing w:after="57" w:line="170" w:lineRule="exact"/>
      <w:ind w:left="227" w:hanging="227"/>
    </w:pPr>
    <w:rPr>
      <w:rFonts w:ascii="Verdana" w:eastAsia="Times New Roman" w:hAnsi="Verdana" w:cs="Times New Roman"/>
      <w:color w:val="58595B"/>
      <w:sz w:val="13"/>
    </w:rPr>
  </w:style>
  <w:style w:type="paragraph" w:customStyle="1" w:styleId="Subheading1">
    <w:name w:val="Subheading 1"/>
    <w:basedOn w:val="Normal"/>
    <w:link w:val="Subheading1Char"/>
    <w:qFormat/>
    <w:rsid w:val="002B7F4B"/>
    <w:pPr>
      <w:spacing w:before="360" w:after="120" w:line="320" w:lineRule="exact"/>
    </w:pPr>
    <w:rPr>
      <w:rFonts w:ascii="Verdana" w:eastAsia="Times New Roman" w:hAnsi="Verdana" w:cs="Times New Roman"/>
      <w:color w:val="007DBA"/>
      <w:sz w:val="32"/>
    </w:rPr>
  </w:style>
  <w:style w:type="character" w:customStyle="1" w:styleId="Subheading1Char">
    <w:name w:val="Subheading 1 Char"/>
    <w:basedOn w:val="DefaultParagraphFont"/>
    <w:link w:val="Subheading1"/>
    <w:rsid w:val="002B7F4B"/>
    <w:rPr>
      <w:rFonts w:ascii="Verdana" w:eastAsia="Times New Roman" w:hAnsi="Verdana" w:cs="Times New Roman"/>
      <w:color w:val="007DBA"/>
      <w:sz w:val="32"/>
      <w:lang w:val="en-AU"/>
    </w:rPr>
  </w:style>
  <w:style w:type="paragraph" w:customStyle="1" w:styleId="Table1">
    <w:name w:val="Table 1"/>
    <w:basedOn w:val="Normal"/>
    <w:link w:val="Table1Char"/>
    <w:qFormat/>
    <w:rsid w:val="002B7F4B"/>
    <w:pPr>
      <w:spacing w:before="57" w:after="57" w:line="200" w:lineRule="exact"/>
      <w:ind w:right="-390"/>
    </w:pPr>
    <w:rPr>
      <w:rFonts w:ascii="Verdana" w:eastAsia="Times New Roman" w:hAnsi="Verdana" w:cs="Times New Roman"/>
      <w:color w:val="58595B"/>
      <w:sz w:val="18"/>
      <w:szCs w:val="16"/>
      <w:lang w:val="nl-NL"/>
    </w:rPr>
  </w:style>
  <w:style w:type="character" w:customStyle="1" w:styleId="Table1Char">
    <w:name w:val="Table 1 Char"/>
    <w:basedOn w:val="DefaultParagraphFont"/>
    <w:link w:val="Table1"/>
    <w:rsid w:val="002B7F4B"/>
    <w:rPr>
      <w:rFonts w:ascii="Verdana" w:eastAsia="Times New Roman" w:hAnsi="Verdana" w:cs="Times New Roman"/>
      <w:color w:val="58595B"/>
      <w:sz w:val="18"/>
      <w:szCs w:val="16"/>
      <w:lang w:val="nl-NL"/>
    </w:rPr>
  </w:style>
  <w:style w:type="character" w:styleId="CommentReference">
    <w:name w:val="annotation reference"/>
    <w:basedOn w:val="DefaultParagraphFont"/>
    <w:uiPriority w:val="99"/>
    <w:semiHidden/>
    <w:unhideWhenUsed/>
    <w:rsid w:val="00735B13"/>
    <w:rPr>
      <w:sz w:val="16"/>
      <w:szCs w:val="16"/>
    </w:rPr>
  </w:style>
  <w:style w:type="paragraph" w:styleId="CommentText">
    <w:name w:val="annotation text"/>
    <w:basedOn w:val="Normal"/>
    <w:link w:val="CommentTextChar"/>
    <w:uiPriority w:val="99"/>
    <w:semiHidden/>
    <w:unhideWhenUsed/>
    <w:rsid w:val="00735B13"/>
    <w:rPr>
      <w:sz w:val="20"/>
      <w:szCs w:val="20"/>
    </w:rPr>
  </w:style>
  <w:style w:type="character" w:customStyle="1" w:styleId="CommentTextChar">
    <w:name w:val="Comment Text Char"/>
    <w:basedOn w:val="DefaultParagraphFont"/>
    <w:link w:val="CommentText"/>
    <w:uiPriority w:val="99"/>
    <w:semiHidden/>
    <w:rsid w:val="00735B13"/>
    <w:rPr>
      <w:sz w:val="20"/>
      <w:szCs w:val="20"/>
      <w:lang w:val="en-AU"/>
    </w:rPr>
  </w:style>
  <w:style w:type="paragraph" w:styleId="CommentSubject">
    <w:name w:val="annotation subject"/>
    <w:basedOn w:val="CommentText"/>
    <w:next w:val="CommentText"/>
    <w:link w:val="CommentSubjectChar"/>
    <w:uiPriority w:val="99"/>
    <w:semiHidden/>
    <w:unhideWhenUsed/>
    <w:rsid w:val="00735B13"/>
    <w:rPr>
      <w:b/>
      <w:bCs/>
    </w:rPr>
  </w:style>
  <w:style w:type="character" w:customStyle="1" w:styleId="CommentSubjectChar">
    <w:name w:val="Comment Subject Char"/>
    <w:basedOn w:val="CommentTextChar"/>
    <w:link w:val="CommentSubject"/>
    <w:uiPriority w:val="99"/>
    <w:semiHidden/>
    <w:rsid w:val="00735B13"/>
    <w:rPr>
      <w:b/>
      <w:bCs/>
      <w:sz w:val="20"/>
      <w:szCs w:val="20"/>
      <w:lang w:val="en-AU"/>
    </w:rPr>
  </w:style>
  <w:style w:type="paragraph" w:styleId="Revision">
    <w:name w:val="Revision"/>
    <w:hidden/>
    <w:uiPriority w:val="99"/>
    <w:semiHidden/>
    <w:rsid w:val="002B58D0"/>
    <w:rPr>
      <w:lang w:val="en-AU"/>
    </w:rPr>
  </w:style>
  <w:style w:type="paragraph" w:styleId="NoSpacing">
    <w:name w:val="No Spacing"/>
    <w:autoRedefine/>
    <w:uiPriority w:val="1"/>
    <w:qFormat/>
    <w:rsid w:val="00A7531F"/>
    <w:rPr>
      <w:rFonts w:ascii="Arial" w:eastAsiaTheme="minorHAnsi" w:hAnsi="Arial"/>
      <w:sz w:val="18"/>
      <w:szCs w:val="22"/>
      <w:lang w:val="en-AU"/>
    </w:rPr>
  </w:style>
  <w:style w:type="character" w:styleId="Hyperlink">
    <w:name w:val="Hyperlink"/>
    <w:basedOn w:val="DefaultParagraphFont"/>
    <w:uiPriority w:val="99"/>
    <w:unhideWhenUsed/>
    <w:rsid w:val="003511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30396">
      <w:bodyDiv w:val="1"/>
      <w:marLeft w:val="0"/>
      <w:marRight w:val="0"/>
      <w:marTop w:val="0"/>
      <w:marBottom w:val="0"/>
      <w:divBdr>
        <w:top w:val="none" w:sz="0" w:space="0" w:color="auto"/>
        <w:left w:val="none" w:sz="0" w:space="0" w:color="auto"/>
        <w:bottom w:val="none" w:sz="0" w:space="0" w:color="auto"/>
        <w:right w:val="none" w:sz="0" w:space="0" w:color="auto"/>
      </w:divBdr>
    </w:div>
    <w:div w:id="372853270">
      <w:bodyDiv w:val="1"/>
      <w:marLeft w:val="0"/>
      <w:marRight w:val="0"/>
      <w:marTop w:val="0"/>
      <w:marBottom w:val="0"/>
      <w:divBdr>
        <w:top w:val="none" w:sz="0" w:space="0" w:color="auto"/>
        <w:left w:val="none" w:sz="0" w:space="0" w:color="auto"/>
        <w:bottom w:val="none" w:sz="0" w:space="0" w:color="auto"/>
        <w:right w:val="none" w:sz="0" w:space="0" w:color="auto"/>
      </w:divBdr>
    </w:div>
    <w:div w:id="856584047">
      <w:bodyDiv w:val="1"/>
      <w:marLeft w:val="0"/>
      <w:marRight w:val="0"/>
      <w:marTop w:val="0"/>
      <w:marBottom w:val="0"/>
      <w:divBdr>
        <w:top w:val="none" w:sz="0" w:space="0" w:color="auto"/>
        <w:left w:val="none" w:sz="0" w:space="0" w:color="auto"/>
        <w:bottom w:val="none" w:sz="0" w:space="0" w:color="auto"/>
        <w:right w:val="none" w:sz="0" w:space="0" w:color="auto"/>
      </w:divBdr>
    </w:div>
    <w:div w:id="1472089465">
      <w:bodyDiv w:val="1"/>
      <w:marLeft w:val="0"/>
      <w:marRight w:val="0"/>
      <w:marTop w:val="0"/>
      <w:marBottom w:val="0"/>
      <w:divBdr>
        <w:top w:val="none" w:sz="0" w:space="0" w:color="auto"/>
        <w:left w:val="none" w:sz="0" w:space="0" w:color="auto"/>
        <w:bottom w:val="none" w:sz="0" w:space="0" w:color="auto"/>
        <w:right w:val="none" w:sz="0" w:space="0" w:color="auto"/>
      </w:divBdr>
    </w:div>
    <w:div w:id="1484472674">
      <w:bodyDiv w:val="1"/>
      <w:marLeft w:val="0"/>
      <w:marRight w:val="0"/>
      <w:marTop w:val="0"/>
      <w:marBottom w:val="0"/>
      <w:divBdr>
        <w:top w:val="none" w:sz="0" w:space="0" w:color="auto"/>
        <w:left w:val="none" w:sz="0" w:space="0" w:color="auto"/>
        <w:bottom w:val="none" w:sz="0" w:space="0" w:color="auto"/>
        <w:right w:val="none" w:sz="0" w:space="0" w:color="auto"/>
      </w:divBdr>
    </w:div>
    <w:div w:id="15823730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28FFF-DC57-458F-8423-F049B6804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759</Words>
  <Characters>4331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Noble Brands Worldwide Pty Ltd</Company>
  <LinksUpToDate>false</LinksUpToDate>
  <CharactersWithSpaces>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Monty Noble</dc:creator>
  <cp:lastModifiedBy>Kathryn Price</cp:lastModifiedBy>
  <cp:revision>2</cp:revision>
  <cp:lastPrinted>2019-05-13T06:27:00Z</cp:lastPrinted>
  <dcterms:created xsi:type="dcterms:W3CDTF">2019-10-06T22:15:00Z</dcterms:created>
  <dcterms:modified xsi:type="dcterms:W3CDTF">2019-10-06T22:15:00Z</dcterms:modified>
</cp:coreProperties>
</file>