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BAF55E" w14:textId="77777777" w:rsidR="00AC6592" w:rsidRPr="008A1CFD" w:rsidRDefault="008E1904" w:rsidP="0035118D">
      <w:pPr>
        <w:tabs>
          <w:tab w:val="left" w:pos="1125"/>
        </w:tabs>
        <w:rPr>
          <w:rFonts w:ascii="Arial" w:hAnsi="Arial" w:cs="Arial"/>
          <w:highlight w:val="yellow"/>
        </w:rPr>
        <w:sectPr w:rsidR="00AC6592" w:rsidRPr="008A1CFD" w:rsidSect="007E364A">
          <w:footerReference w:type="default" r:id="rId8"/>
          <w:pgSz w:w="11900" w:h="16840"/>
          <w:pgMar w:top="1440" w:right="560" w:bottom="1440" w:left="993" w:header="0" w:footer="198" w:gutter="0"/>
          <w:cols w:space="708"/>
          <w:docGrid w:linePitch="360"/>
        </w:sectPr>
      </w:pPr>
      <w:r w:rsidRPr="008A1CFD">
        <w:rPr>
          <w:rFonts w:ascii="Arial" w:eastAsia="Times New Roman" w:hAnsi="Arial" w:cs="Arial"/>
          <w:noProof/>
          <w:color w:val="007DBA"/>
          <w:lang w:eastAsia="en-AU"/>
        </w:rPr>
        <mc:AlternateContent>
          <mc:Choice Requires="wps">
            <w:drawing>
              <wp:anchor distT="0" distB="0" distL="114300" distR="114300" simplePos="0" relativeHeight="251659264" behindDoc="0" locked="0" layoutInCell="1" allowOverlap="1" wp14:anchorId="7BA360DB" wp14:editId="45C79FC7">
                <wp:simplePos x="0" y="0"/>
                <wp:positionH relativeFrom="column">
                  <wp:posOffset>5636895</wp:posOffset>
                </wp:positionH>
                <wp:positionV relativeFrom="paragraph">
                  <wp:posOffset>342900</wp:posOffset>
                </wp:positionV>
                <wp:extent cx="1125855" cy="224154"/>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24154"/>
                        </a:xfrm>
                        <a:prstGeom prst="rect">
                          <a:avLst/>
                        </a:prstGeom>
                        <a:noFill/>
                        <a:ln w="9525">
                          <a:noFill/>
                          <a:miter lim="800000"/>
                          <a:headEnd/>
                          <a:tailEnd/>
                        </a:ln>
                      </wps:spPr>
                      <wps:txbx>
                        <w:txbxContent>
                          <w:p w14:paraId="5A73D6EF" w14:textId="7BC88B1D" w:rsidR="00B15816" w:rsidRDefault="00B309E3" w:rsidP="00B15816">
                            <w:pPr>
                              <w:jc w:val="right"/>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 xml:space="preserve">February </w:t>
                            </w:r>
                            <w:r w:rsidR="00B15816">
                              <w:rPr>
                                <w:rFonts w:ascii="Verdana" w:eastAsia="Times New Roman" w:hAnsi="Verdana" w:cs="Times New Roman"/>
                                <w:color w:val="FFFFFF" w:themeColor="background1"/>
                                <w:sz w:val="16"/>
                                <w:szCs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360DB" id="_x0000_t202" coordsize="21600,21600" o:spt="202" path="m,l,21600r21600,l21600,xe">
                <v:stroke joinstyle="miter"/>
                <v:path gradientshapeok="t" o:connecttype="rect"/>
              </v:shapetype>
              <v:shape id="Text Box 307" o:spid="_x0000_s1026" type="#_x0000_t202" style="position:absolute;margin-left:443.85pt;margin-top:27pt;width:88.65pt;height:17.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CQDQIAAPYDAAAOAAAAZHJzL2Uyb0RvYy54bWysU9tu2zAMfR+wfxD0vviyeE2NOEXXLsOA&#10;7gK0+wBZlmNhkqhJSuzs60fJaRpsb8P8IIgmechzSK1vJq3IQTgvwTS0WOSUCMOhk2bX0O9P2zcr&#10;SnxgpmMKjGjoUXh6s3n9aj3aWpQwgOqEIwhifD3ahg4h2DrLPB+EZn4BVhh09uA0C2i6XdY5NiK6&#10;VlmZ5++yEVxnHXDhPf69n510k/D7XvDwte+9CEQ1FHsL6XTpbOOZbdas3jlmB8lPbbB/6EIzabDo&#10;GeqeBUb2Tv4FpSV34KEPCw46g76XXCQOyKbI/2DzODArEhcUx9uzTP7/wfIvh2+OyK6hb/MrSgzT&#10;OKQnMQXyHiYS/6FCo/U1Bj5aDA0TOnDSia23D8B/eGLgbmBmJ26dg3EQrMMOi5iZXaTOOD6CtONn&#10;6LAQ2wdIQFPvdJQPBSGIjpM6nqcTm+GxZFFWq6qihKOvLJdFtUwlWP2cbZ0PHwVoEi8NdTj9hM4O&#10;Dz7Eblj9HBKLGdhKpdIGKEPGhl5XZZUSLjxaBlxQJXVDV3n85pWJJD+YLiUHJtV8xwLKnFhHojPl&#10;MLUTBkYpWuiOyN/BvIj4cPAygPtFyYhL2FD/c8+coER9MqjhdbFcxq1NxrK6KtFwl5720sMMR6iG&#10;Bkrm611Imx65enuLWm9lkuGlk1OvuFxJndNDiNt7aaeol+e6+Q0AAP//AwBQSwMEFAAGAAgAAAAh&#10;AGrI0CTeAAAACgEAAA8AAABkcnMvZG93bnJldi54bWxMj81OwzAQhO9IvIO1SNyoTaFNCHGqCrXl&#10;WCgRZzdekoj4R7abhrdne4LbjubT7Ey5mszARgyxd1bC/UwAQ9s43dtWQv2xvcuBxaSsVoOzKOEH&#10;I6yq66tSFdqd7TuOh9QyCrGxUBK6lHzBeWw6NCrOnEdL3pcLRiWSoeU6qDOFm4HPhVhyo3pLHzrl&#10;8aXD5vtwMhJ88rvsNezf1pvtKOrPXT3v242UtzfT+hlYwin9wXCpT9Whok5Hd7I6skFCnmcZoRIW&#10;j7TpAojlgq4jWU8PwKuS/59Q/QIAAP//AwBQSwECLQAUAAYACAAAACEAtoM4kv4AAADhAQAAEwAA&#10;AAAAAAAAAAAAAAAAAAAAW0NvbnRlbnRfVHlwZXNdLnhtbFBLAQItABQABgAIAAAAIQA4/SH/1gAA&#10;AJQBAAALAAAAAAAAAAAAAAAAAC8BAABfcmVscy8ucmVsc1BLAQItABQABgAIAAAAIQBR3ACQDQIA&#10;APYDAAAOAAAAAAAAAAAAAAAAAC4CAABkcnMvZTJvRG9jLnhtbFBLAQItABQABgAIAAAAIQBqyNAk&#10;3gAAAAoBAAAPAAAAAAAAAAAAAAAAAGcEAABkcnMvZG93bnJldi54bWxQSwUGAAAAAAQABADzAAAA&#10;cgUAAAAA&#10;" filled="f" stroked="f">
                <v:textbox style="mso-fit-shape-to-text:t">
                  <w:txbxContent>
                    <w:p w14:paraId="5A73D6EF" w14:textId="7BC88B1D" w:rsidR="00B15816" w:rsidRDefault="00B309E3" w:rsidP="00B15816">
                      <w:pPr>
                        <w:jc w:val="right"/>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 xml:space="preserve">February </w:t>
                      </w:r>
                      <w:r w:rsidR="00B15816">
                        <w:rPr>
                          <w:rFonts w:ascii="Verdana" w:eastAsia="Times New Roman" w:hAnsi="Verdana" w:cs="Times New Roman"/>
                          <w:color w:val="FFFFFF" w:themeColor="background1"/>
                          <w:sz w:val="16"/>
                          <w:szCs w:val="18"/>
                        </w:rPr>
                        <w:t>2020</w:t>
                      </w:r>
                    </w:p>
                  </w:txbxContent>
                </v:textbox>
              </v:shape>
            </w:pict>
          </mc:Fallback>
        </mc:AlternateContent>
      </w:r>
      <w:r>
        <w:rPr>
          <w:rFonts w:ascii="Arial" w:eastAsia="Times New Roman" w:hAnsi="Arial" w:cs="Arial"/>
          <w:noProof/>
          <w:color w:val="007DBA"/>
          <w:lang w:eastAsia="en-AU"/>
        </w:rPr>
        <w:drawing>
          <wp:anchor distT="0" distB="0" distL="114300" distR="114300" simplePos="0" relativeHeight="251654143" behindDoc="0" locked="0" layoutInCell="1" allowOverlap="1" wp14:anchorId="164976A1" wp14:editId="1B58B018">
            <wp:simplePos x="0" y="0"/>
            <wp:positionH relativeFrom="page">
              <wp:align>right</wp:align>
            </wp:positionH>
            <wp:positionV relativeFrom="margin">
              <wp:posOffset>-1038225</wp:posOffset>
            </wp:positionV>
            <wp:extent cx="7635240" cy="1781810"/>
            <wp:effectExtent l="0" t="0" r="3810" b="8890"/>
            <wp:wrapThrough wrapText="bothSides">
              <wp:wrapPolygon edited="0">
                <wp:start x="0" y="0"/>
                <wp:lineTo x="0" y="21477"/>
                <wp:lineTo x="21557" y="21477"/>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5240"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46D86" w14:textId="77777777" w:rsidR="00B309E3" w:rsidRDefault="00B309E3" w:rsidP="00B309E3">
      <w:pPr>
        <w:pStyle w:val="NoSpacing"/>
        <w:rPr>
          <w:rFonts w:eastAsia="Times New Roman" w:cs="Arial"/>
          <w:color w:val="C9D712"/>
          <w:sz w:val="28"/>
          <w:szCs w:val="28"/>
        </w:rPr>
      </w:pPr>
      <w:bookmarkStart w:id="1" w:name="_Hlk32224526"/>
      <w:r w:rsidRPr="00B309E3">
        <w:rPr>
          <w:rFonts w:eastAsia="Times New Roman" w:cs="Arial"/>
          <w:color w:val="C9D712"/>
          <w:sz w:val="28"/>
          <w:szCs w:val="28"/>
        </w:rPr>
        <w:t>Investor sentiment was mixed</w:t>
      </w:r>
    </w:p>
    <w:p w14:paraId="3883F2D6" w14:textId="77777777" w:rsidR="00B309E3" w:rsidRPr="00B309E3" w:rsidRDefault="00B309E3" w:rsidP="00B309E3">
      <w:pPr>
        <w:pStyle w:val="NoSpacing"/>
        <w:numPr>
          <w:ilvl w:val="0"/>
          <w:numId w:val="27"/>
        </w:numPr>
        <w:ind w:left="720"/>
        <w:rPr>
          <w:sz w:val="17"/>
          <w:szCs w:val="17"/>
        </w:rPr>
      </w:pPr>
      <w:bookmarkStart w:id="2" w:name="_Hlk32224512"/>
      <w:bookmarkEnd w:id="1"/>
      <w:r w:rsidRPr="00B309E3">
        <w:rPr>
          <w:b/>
          <w:sz w:val="17"/>
          <w:szCs w:val="17"/>
        </w:rPr>
        <w:t>Global shares</w:t>
      </w:r>
      <w:r w:rsidRPr="00B309E3">
        <w:rPr>
          <w:sz w:val="17"/>
          <w:szCs w:val="17"/>
        </w:rPr>
        <w:t xml:space="preserve"> were down -0.4% and were up 4.3% in hedged and unhedged terms, respectively. </w:t>
      </w:r>
      <w:r w:rsidRPr="00B309E3">
        <w:rPr>
          <w:b/>
          <w:sz w:val="17"/>
          <w:szCs w:val="17"/>
        </w:rPr>
        <w:t>Emerging markets</w:t>
      </w:r>
      <w:r w:rsidRPr="00B309E3">
        <w:rPr>
          <w:sz w:val="17"/>
          <w:szCs w:val="17"/>
        </w:rPr>
        <w:t xml:space="preserve"> were relative underperformers (up 0.1%) driven by coronavirus concerns over the impact on China.</w:t>
      </w:r>
    </w:p>
    <w:p w14:paraId="3907CE3D" w14:textId="77777777" w:rsidR="00B309E3" w:rsidRPr="00B309E3" w:rsidRDefault="00B309E3" w:rsidP="00B309E3">
      <w:pPr>
        <w:pStyle w:val="NoSpacing"/>
        <w:numPr>
          <w:ilvl w:val="0"/>
          <w:numId w:val="27"/>
        </w:numPr>
        <w:ind w:left="720"/>
        <w:rPr>
          <w:sz w:val="17"/>
          <w:szCs w:val="17"/>
        </w:rPr>
      </w:pPr>
      <w:r w:rsidRPr="00B309E3">
        <w:rPr>
          <w:sz w:val="17"/>
          <w:szCs w:val="17"/>
        </w:rPr>
        <w:t xml:space="preserve">Domestically, </w:t>
      </w:r>
      <w:r w:rsidRPr="00B309E3">
        <w:rPr>
          <w:b/>
          <w:sz w:val="17"/>
          <w:szCs w:val="17"/>
        </w:rPr>
        <w:t>Australian shares</w:t>
      </w:r>
      <w:r w:rsidRPr="00B309E3">
        <w:rPr>
          <w:sz w:val="17"/>
          <w:szCs w:val="17"/>
        </w:rPr>
        <w:t xml:space="preserve"> outperformed international markets rising 5% during January. This was driven by strong performance in the Health Care and Technology sectors. </w:t>
      </w:r>
    </w:p>
    <w:p w14:paraId="7B7FD379" w14:textId="77777777" w:rsidR="00B309E3" w:rsidRPr="00B309E3" w:rsidRDefault="00B309E3" w:rsidP="00B309E3">
      <w:pPr>
        <w:pStyle w:val="NoSpacing"/>
        <w:numPr>
          <w:ilvl w:val="0"/>
          <w:numId w:val="27"/>
        </w:numPr>
        <w:ind w:left="720"/>
        <w:rPr>
          <w:sz w:val="17"/>
          <w:szCs w:val="17"/>
        </w:rPr>
      </w:pPr>
      <w:r w:rsidRPr="00B309E3">
        <w:rPr>
          <w:sz w:val="17"/>
          <w:szCs w:val="17"/>
        </w:rPr>
        <w:t xml:space="preserve">The </w:t>
      </w:r>
      <w:r w:rsidRPr="00B309E3">
        <w:rPr>
          <w:b/>
          <w:sz w:val="17"/>
          <w:szCs w:val="17"/>
        </w:rPr>
        <w:t>Australian dollar (AUD)</w:t>
      </w:r>
      <w:r w:rsidRPr="00B309E3">
        <w:rPr>
          <w:sz w:val="17"/>
          <w:szCs w:val="17"/>
        </w:rPr>
        <w:t xml:space="preserve"> fell against major currencies by -3.6% attributable to expectations of weaker Chinese growth from the coronavirus and weaker domestic growth from the bushfires.</w:t>
      </w:r>
    </w:p>
    <w:p w14:paraId="71E0B693" w14:textId="77777777" w:rsidR="00B309E3" w:rsidRPr="00B309E3" w:rsidRDefault="00B309E3" w:rsidP="00B309E3">
      <w:pPr>
        <w:pStyle w:val="NoSpacing"/>
        <w:numPr>
          <w:ilvl w:val="0"/>
          <w:numId w:val="27"/>
        </w:numPr>
        <w:ind w:left="720"/>
        <w:rPr>
          <w:sz w:val="17"/>
          <w:szCs w:val="17"/>
        </w:rPr>
      </w:pPr>
      <w:r w:rsidRPr="00B309E3">
        <w:rPr>
          <w:b/>
          <w:sz w:val="17"/>
          <w:szCs w:val="17"/>
        </w:rPr>
        <w:t>Fixed income</w:t>
      </w:r>
      <w:r w:rsidRPr="00B309E3">
        <w:rPr>
          <w:sz w:val="17"/>
          <w:szCs w:val="17"/>
        </w:rPr>
        <w:t xml:space="preserve"> assets rallied with growth concerns from the virus outbreak in China the key driver. Another factor was the rise of geopolitical tension in the Middle East between Iran and the US. A US airstrike (in response to rising Iranian-linked attacks in Iraq) killed Iranian general </w:t>
      </w:r>
      <w:proofErr w:type="spellStart"/>
      <w:r w:rsidRPr="00B309E3">
        <w:rPr>
          <w:sz w:val="17"/>
          <w:szCs w:val="17"/>
        </w:rPr>
        <w:t>Qassem</w:t>
      </w:r>
      <w:proofErr w:type="spellEnd"/>
      <w:r w:rsidRPr="00B309E3">
        <w:rPr>
          <w:sz w:val="17"/>
          <w:szCs w:val="17"/>
        </w:rPr>
        <w:t xml:space="preserve"> Soleimani. This saw a retaliatory rocket strike from Iran on airbases with US troops and has since seen an uneasy stalemate emerge. </w:t>
      </w:r>
    </w:p>
    <w:p w14:paraId="54C91BB7" w14:textId="77777777" w:rsidR="00B309E3" w:rsidRPr="00B309E3" w:rsidRDefault="00B309E3" w:rsidP="00B309E3">
      <w:pPr>
        <w:pStyle w:val="NoSpacing"/>
        <w:numPr>
          <w:ilvl w:val="0"/>
          <w:numId w:val="27"/>
        </w:numPr>
        <w:ind w:left="720"/>
        <w:rPr>
          <w:sz w:val="17"/>
          <w:szCs w:val="17"/>
        </w:rPr>
      </w:pPr>
      <w:r w:rsidRPr="00B309E3">
        <w:rPr>
          <w:sz w:val="17"/>
          <w:szCs w:val="17"/>
        </w:rPr>
        <w:t xml:space="preserve">In this environment of virus fears and geopolitical tension, investors sought </w:t>
      </w:r>
      <w:proofErr w:type="gramStart"/>
      <w:r w:rsidRPr="00B309E3">
        <w:rPr>
          <w:sz w:val="17"/>
          <w:szCs w:val="17"/>
        </w:rPr>
        <w:t>safe haven</w:t>
      </w:r>
      <w:proofErr w:type="gramEnd"/>
      <w:r w:rsidRPr="00B309E3">
        <w:rPr>
          <w:sz w:val="17"/>
          <w:szCs w:val="17"/>
        </w:rPr>
        <w:t xml:space="preserve"> assets with bond prices rising (and yields falling) during January resulting in positive returns for both </w:t>
      </w:r>
      <w:r w:rsidRPr="00B309E3">
        <w:rPr>
          <w:b/>
          <w:sz w:val="17"/>
          <w:szCs w:val="17"/>
        </w:rPr>
        <w:t>domestic fixed income</w:t>
      </w:r>
      <w:r w:rsidRPr="00B309E3">
        <w:rPr>
          <w:sz w:val="17"/>
          <w:szCs w:val="17"/>
        </w:rPr>
        <w:t xml:space="preserve"> and </w:t>
      </w:r>
      <w:r w:rsidRPr="00B309E3">
        <w:rPr>
          <w:b/>
          <w:sz w:val="17"/>
          <w:szCs w:val="17"/>
        </w:rPr>
        <w:t>international fixed income</w:t>
      </w:r>
      <w:r w:rsidRPr="00B309E3">
        <w:rPr>
          <w:sz w:val="17"/>
          <w:szCs w:val="17"/>
        </w:rPr>
        <w:t xml:space="preserve">.  </w:t>
      </w:r>
    </w:p>
    <w:bookmarkEnd w:id="2"/>
    <w:p w14:paraId="396588AE" w14:textId="77777777" w:rsidR="0035118D" w:rsidRDefault="0035118D" w:rsidP="00A7531F">
      <w:pPr>
        <w:pStyle w:val="NoSpacing"/>
        <w:numPr>
          <w:ilvl w:val="0"/>
          <w:numId w:val="27"/>
        </w:numPr>
      </w:pPr>
    </w:p>
    <w:p w14:paraId="07396098" w14:textId="39EF58F4" w:rsidR="008807F6" w:rsidRDefault="00B309E3" w:rsidP="00CC1B7E">
      <w:pPr>
        <w:pStyle w:val="NoSpacing"/>
        <w:rPr>
          <w:rFonts w:eastAsia="Times New Roman" w:cs="Arial"/>
          <w:color w:val="C9D712"/>
          <w:sz w:val="28"/>
          <w:szCs w:val="28"/>
        </w:rPr>
      </w:pPr>
      <w:bookmarkStart w:id="3" w:name="_Hlk32224535"/>
      <w:r w:rsidRPr="00B309E3">
        <w:rPr>
          <w:rFonts w:eastAsia="Times New Roman" w:cs="Arial"/>
          <w:color w:val="C9D712"/>
          <w:sz w:val="28"/>
          <w:szCs w:val="28"/>
        </w:rPr>
        <w:t>As other risks cast a shadow on the global economy…</w:t>
      </w:r>
    </w:p>
    <w:bookmarkEnd w:id="3"/>
    <w:p w14:paraId="0847ABBD" w14:textId="77777777" w:rsidR="00214B41" w:rsidRDefault="00214B41" w:rsidP="00CC1B7E">
      <w:pPr>
        <w:pStyle w:val="NoSpacing"/>
        <w:rPr>
          <w:b/>
          <w:sz w:val="17"/>
          <w:szCs w:val="17"/>
        </w:rPr>
      </w:pPr>
    </w:p>
    <w:p w14:paraId="61B1A03E" w14:textId="41E4F995" w:rsidR="00CC1B7E" w:rsidRPr="00B309E3" w:rsidRDefault="00CC1B7E" w:rsidP="00CC1B7E">
      <w:pPr>
        <w:pStyle w:val="NoSpacing"/>
        <w:rPr>
          <w:b/>
          <w:sz w:val="17"/>
          <w:szCs w:val="17"/>
        </w:rPr>
      </w:pPr>
      <w:bookmarkStart w:id="4" w:name="_Hlk32224666"/>
      <w:r w:rsidRPr="00B309E3">
        <w:rPr>
          <w:b/>
          <w:sz w:val="17"/>
          <w:szCs w:val="17"/>
        </w:rPr>
        <w:t>Globally</w:t>
      </w:r>
    </w:p>
    <w:p w14:paraId="0744288F" w14:textId="77777777" w:rsidR="00B309E3" w:rsidRPr="00B309E3" w:rsidRDefault="00B309E3" w:rsidP="00B309E3">
      <w:pPr>
        <w:pStyle w:val="NoSpacing"/>
        <w:numPr>
          <w:ilvl w:val="0"/>
          <w:numId w:val="26"/>
        </w:numPr>
        <w:ind w:left="720"/>
        <w:rPr>
          <w:sz w:val="17"/>
          <w:szCs w:val="17"/>
        </w:rPr>
      </w:pPr>
      <w:r w:rsidRPr="00B309E3">
        <w:rPr>
          <w:sz w:val="17"/>
          <w:szCs w:val="17"/>
        </w:rPr>
        <w:t>Global business surveys continue pointing to an uptick in growth with the JP Morgan Markit Composite Global PMI at a nine-month high.</w:t>
      </w:r>
    </w:p>
    <w:p w14:paraId="5CD49857" w14:textId="77777777" w:rsidR="00B309E3" w:rsidRPr="00B309E3" w:rsidRDefault="00B309E3" w:rsidP="00B309E3">
      <w:pPr>
        <w:pStyle w:val="NoSpacing"/>
        <w:numPr>
          <w:ilvl w:val="0"/>
          <w:numId w:val="26"/>
        </w:numPr>
        <w:ind w:left="720"/>
        <w:rPr>
          <w:sz w:val="17"/>
          <w:szCs w:val="17"/>
        </w:rPr>
      </w:pPr>
      <w:r w:rsidRPr="00B309E3">
        <w:rPr>
          <w:sz w:val="17"/>
          <w:szCs w:val="17"/>
        </w:rPr>
        <w:t>The UK formalised its EU exit at the end of January with focus now on a formal trade agreement over the next 12 months.</w:t>
      </w:r>
    </w:p>
    <w:p w14:paraId="62E529C1" w14:textId="77777777" w:rsidR="00B309E3" w:rsidRPr="00B309E3" w:rsidRDefault="00B309E3" w:rsidP="00B309E3">
      <w:pPr>
        <w:pStyle w:val="NoSpacing"/>
        <w:numPr>
          <w:ilvl w:val="0"/>
          <w:numId w:val="26"/>
        </w:numPr>
        <w:ind w:left="720"/>
        <w:rPr>
          <w:sz w:val="17"/>
          <w:szCs w:val="17"/>
        </w:rPr>
      </w:pPr>
      <w:r w:rsidRPr="00B309E3">
        <w:rPr>
          <w:sz w:val="17"/>
          <w:szCs w:val="17"/>
        </w:rPr>
        <w:t xml:space="preserve">The US and China signed a “phase one” trade deal in mid-January as expected. </w:t>
      </w:r>
    </w:p>
    <w:p w14:paraId="0C7FBD63" w14:textId="77777777" w:rsidR="00B309E3" w:rsidRPr="00B309E3" w:rsidRDefault="00B309E3" w:rsidP="00B309E3">
      <w:pPr>
        <w:pStyle w:val="NoSpacing"/>
        <w:numPr>
          <w:ilvl w:val="0"/>
          <w:numId w:val="26"/>
        </w:numPr>
        <w:ind w:left="720"/>
        <w:rPr>
          <w:sz w:val="17"/>
          <w:szCs w:val="17"/>
        </w:rPr>
      </w:pPr>
      <w:r w:rsidRPr="00B309E3">
        <w:rPr>
          <w:sz w:val="17"/>
          <w:szCs w:val="17"/>
        </w:rPr>
        <w:t>The Iranian and virus fears prompted concern about China and global growth.</w:t>
      </w:r>
    </w:p>
    <w:p w14:paraId="0BC65E40" w14:textId="77777777" w:rsidR="004F6BFA" w:rsidRPr="00B309E3" w:rsidRDefault="004F6BFA" w:rsidP="00B309E3">
      <w:pPr>
        <w:pStyle w:val="NoSpacing"/>
        <w:ind w:left="720"/>
        <w:rPr>
          <w:sz w:val="17"/>
          <w:szCs w:val="17"/>
        </w:rPr>
      </w:pPr>
    </w:p>
    <w:p w14:paraId="541A7A64" w14:textId="08F03EF3" w:rsidR="00CC1B7E" w:rsidRPr="00B309E3" w:rsidRDefault="00CC1B7E" w:rsidP="00CC1B7E">
      <w:pPr>
        <w:pStyle w:val="NoSpacing"/>
        <w:rPr>
          <w:b/>
          <w:sz w:val="17"/>
          <w:szCs w:val="17"/>
        </w:rPr>
      </w:pPr>
      <w:r w:rsidRPr="00B309E3">
        <w:rPr>
          <w:b/>
          <w:sz w:val="17"/>
          <w:szCs w:val="17"/>
        </w:rPr>
        <w:t>Locally</w:t>
      </w:r>
    </w:p>
    <w:p w14:paraId="37828E59" w14:textId="77777777" w:rsidR="00B309E3" w:rsidRPr="00B309E3" w:rsidRDefault="00B309E3" w:rsidP="00B309E3">
      <w:pPr>
        <w:pStyle w:val="NoSpacing"/>
        <w:numPr>
          <w:ilvl w:val="0"/>
          <w:numId w:val="26"/>
        </w:numPr>
        <w:ind w:left="720"/>
        <w:rPr>
          <w:sz w:val="17"/>
          <w:szCs w:val="17"/>
        </w:rPr>
      </w:pPr>
      <w:r w:rsidRPr="00B309E3">
        <w:rPr>
          <w:sz w:val="17"/>
          <w:szCs w:val="17"/>
        </w:rPr>
        <w:t>Bushfires continued into January with firmer expectations of a drag on growth during the March quarter of -0.2% according to some estimates.</w:t>
      </w:r>
    </w:p>
    <w:p w14:paraId="269BC13A" w14:textId="77777777" w:rsidR="00B309E3" w:rsidRPr="00B309E3" w:rsidRDefault="00B309E3" w:rsidP="00B309E3">
      <w:pPr>
        <w:pStyle w:val="NoSpacing"/>
        <w:numPr>
          <w:ilvl w:val="0"/>
          <w:numId w:val="26"/>
        </w:numPr>
        <w:ind w:left="720"/>
        <w:rPr>
          <w:sz w:val="17"/>
          <w:szCs w:val="17"/>
        </w:rPr>
      </w:pPr>
      <w:r w:rsidRPr="00B309E3">
        <w:rPr>
          <w:sz w:val="17"/>
          <w:szCs w:val="17"/>
        </w:rPr>
        <w:t>The coronavirus outbreak and weaker Chinese demand for Australian exports is also expected to be a drag on growth.</w:t>
      </w:r>
    </w:p>
    <w:p w14:paraId="4050A031" w14:textId="77777777" w:rsidR="00B309E3" w:rsidRPr="00B309E3" w:rsidRDefault="00B309E3" w:rsidP="00B309E3">
      <w:pPr>
        <w:pStyle w:val="NoSpacing"/>
        <w:numPr>
          <w:ilvl w:val="0"/>
          <w:numId w:val="26"/>
        </w:numPr>
        <w:ind w:left="720"/>
        <w:rPr>
          <w:sz w:val="17"/>
          <w:szCs w:val="17"/>
        </w:rPr>
      </w:pPr>
      <w:r w:rsidRPr="00B309E3">
        <w:rPr>
          <w:sz w:val="17"/>
          <w:szCs w:val="17"/>
        </w:rPr>
        <w:t>The labour market has continued to hold up comparably well with the RBA staying firm on rates in early February despite these near-term risks. However, given these risks growth is likely to underperform their forecast (2.75%) for another year.</w:t>
      </w:r>
    </w:p>
    <w:bookmarkEnd w:id="4"/>
    <w:p w14:paraId="2891B327" w14:textId="77777777" w:rsidR="00CC1B7E" w:rsidRPr="008807F6" w:rsidRDefault="002D297E" w:rsidP="00567152">
      <w:pPr>
        <w:rPr>
          <w:rFonts w:ascii="Arial" w:hAnsi="Arial" w:cs="Arial"/>
          <w:color w:val="C9D712"/>
          <w:sz w:val="28"/>
          <w:szCs w:val="28"/>
        </w:rPr>
      </w:pPr>
      <w:r w:rsidRPr="008E1904">
        <w:rPr>
          <w:rFonts w:ascii="Arial" w:hAnsi="Arial" w:cs="Arial"/>
          <w:color w:val="C9D712"/>
          <w:sz w:val="28"/>
          <w:szCs w:val="28"/>
        </w:rPr>
        <w:t>Major asset class performance</w:t>
      </w:r>
      <w:bookmarkStart w:id="5" w:name="_Hlk32224485"/>
      <w:bookmarkStart w:id="6" w:name="_Hlk30077215"/>
    </w:p>
    <w:tbl>
      <w:tblPr>
        <w:tblpPr w:leftFromText="180" w:rightFromText="180" w:vertAnchor="text" w:horzAnchor="margin" w:tblpXSpec="right" w:tblpY="119"/>
        <w:tblW w:w="4962"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518"/>
        <w:gridCol w:w="851"/>
        <w:gridCol w:w="708"/>
        <w:gridCol w:w="885"/>
      </w:tblGrid>
      <w:tr w:rsidR="002D297E" w:rsidRPr="00F63FD5" w14:paraId="2DC2AC9B" w14:textId="77777777" w:rsidTr="00B0269B">
        <w:trPr>
          <w:trHeight w:val="310"/>
          <w:tblHeader/>
        </w:trPr>
        <w:tc>
          <w:tcPr>
            <w:tcW w:w="2518" w:type="dxa"/>
            <w:tcBorders>
              <w:top w:val="single" w:sz="4" w:space="0" w:color="5D4F4B"/>
              <w:left w:val="nil"/>
              <w:bottom w:val="nil"/>
              <w:right w:val="nil"/>
            </w:tcBorders>
            <w:shd w:val="clear" w:color="auto" w:fill="004165"/>
            <w:vAlign w:val="center"/>
            <w:hideMark/>
          </w:tcPr>
          <w:p w14:paraId="7892A021" w14:textId="77777777" w:rsidR="002D297E" w:rsidRPr="00F63FD5" w:rsidRDefault="002D297E" w:rsidP="002D297E">
            <w:pPr>
              <w:pStyle w:val="TableHeading"/>
              <w:spacing w:before="0" w:after="0"/>
              <w:rPr>
                <w:rFonts w:ascii="Arial" w:hAnsi="Arial" w:cs="Arial"/>
              </w:rPr>
            </w:pPr>
            <w:r w:rsidRPr="00F63FD5">
              <w:rPr>
                <w:rFonts w:ascii="Arial" w:hAnsi="Arial" w:cs="Arial"/>
              </w:rPr>
              <w:t>Asset classes</w:t>
            </w:r>
          </w:p>
        </w:tc>
        <w:tc>
          <w:tcPr>
            <w:tcW w:w="851" w:type="dxa"/>
            <w:tcBorders>
              <w:top w:val="single" w:sz="4" w:space="0" w:color="5D4F4B"/>
              <w:left w:val="nil"/>
              <w:bottom w:val="nil"/>
              <w:right w:val="nil"/>
            </w:tcBorders>
            <w:shd w:val="clear" w:color="auto" w:fill="004165"/>
            <w:vAlign w:val="center"/>
            <w:hideMark/>
          </w:tcPr>
          <w:p w14:paraId="2C15FE56" w14:textId="77777777" w:rsidR="002D297E" w:rsidRPr="00F63FD5" w:rsidRDefault="002D297E" w:rsidP="002D297E">
            <w:pPr>
              <w:pStyle w:val="TableHeading"/>
              <w:spacing w:before="0" w:after="0"/>
              <w:jc w:val="center"/>
              <w:rPr>
                <w:rFonts w:ascii="Arial" w:hAnsi="Arial" w:cs="Arial"/>
              </w:rPr>
            </w:pPr>
            <w:r w:rsidRPr="00F63FD5">
              <w:rPr>
                <w:rFonts w:ascii="Arial" w:hAnsi="Arial" w:cs="Arial"/>
              </w:rPr>
              <w:t>1 month</w:t>
            </w:r>
            <w:r w:rsidR="00F62A5F">
              <w:rPr>
                <w:rFonts w:ascii="Arial" w:hAnsi="Arial" w:cs="Arial"/>
              </w:rPr>
              <w:br/>
              <w:t>%</w:t>
            </w:r>
          </w:p>
        </w:tc>
        <w:tc>
          <w:tcPr>
            <w:tcW w:w="708"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14:paraId="62CAF5E4" w14:textId="77777777" w:rsidR="002D297E" w:rsidRPr="00F63FD5" w:rsidRDefault="00F62A5F" w:rsidP="002D297E">
            <w:pPr>
              <w:pStyle w:val="TableHeading"/>
              <w:spacing w:before="0" w:after="0"/>
              <w:jc w:val="center"/>
              <w:rPr>
                <w:rFonts w:ascii="Arial" w:hAnsi="Arial" w:cs="Arial"/>
              </w:rPr>
            </w:pPr>
            <w:r>
              <w:rPr>
                <w:rFonts w:ascii="Arial" w:hAnsi="Arial" w:cs="Arial"/>
              </w:rPr>
              <w:t>1 year</w:t>
            </w:r>
            <w:r>
              <w:rPr>
                <w:rFonts w:ascii="Arial" w:hAnsi="Arial" w:cs="Arial"/>
              </w:rPr>
              <w:br/>
              <w:t>%</w:t>
            </w:r>
          </w:p>
        </w:tc>
        <w:tc>
          <w:tcPr>
            <w:tcW w:w="885" w:type="dxa"/>
            <w:tcBorders>
              <w:top w:val="single" w:sz="4" w:space="0" w:color="5D4F4B"/>
              <w:left w:val="nil"/>
              <w:bottom w:val="nil"/>
              <w:right w:val="nil"/>
            </w:tcBorders>
            <w:shd w:val="clear" w:color="auto" w:fill="004165"/>
            <w:vAlign w:val="center"/>
          </w:tcPr>
          <w:p w14:paraId="1F482510" w14:textId="77777777" w:rsidR="002D297E" w:rsidRPr="00F63FD5" w:rsidRDefault="002D297E" w:rsidP="002D297E">
            <w:pPr>
              <w:pStyle w:val="TableHeading"/>
              <w:spacing w:before="0" w:after="0"/>
              <w:jc w:val="center"/>
              <w:rPr>
                <w:rFonts w:ascii="Arial" w:hAnsi="Arial" w:cs="Arial"/>
              </w:rPr>
            </w:pPr>
            <w:r w:rsidRPr="00F63FD5">
              <w:rPr>
                <w:rFonts w:ascii="Arial" w:hAnsi="Arial" w:cs="Arial"/>
              </w:rPr>
              <w:t>5 years (p.a.)</w:t>
            </w:r>
            <w:r w:rsidR="00F62A5F">
              <w:rPr>
                <w:rFonts w:ascii="Arial" w:hAnsi="Arial" w:cs="Arial"/>
              </w:rPr>
              <w:t xml:space="preserve"> %</w:t>
            </w:r>
          </w:p>
        </w:tc>
      </w:tr>
      <w:tr w:rsidR="002D297E" w:rsidRPr="00F63FD5" w14:paraId="674406A9" w14:textId="77777777" w:rsidTr="00B0269B">
        <w:trPr>
          <w:trHeight w:val="262"/>
        </w:trPr>
        <w:tc>
          <w:tcPr>
            <w:tcW w:w="2518" w:type="dxa"/>
            <w:tcBorders>
              <w:top w:val="nil"/>
              <w:left w:val="nil"/>
              <w:bottom w:val="nil"/>
              <w:right w:val="nil"/>
            </w:tcBorders>
            <w:vAlign w:val="center"/>
            <w:hideMark/>
          </w:tcPr>
          <w:p w14:paraId="20648F53"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shares</w:t>
            </w:r>
          </w:p>
        </w:tc>
        <w:tc>
          <w:tcPr>
            <w:tcW w:w="851" w:type="dxa"/>
            <w:tcBorders>
              <w:top w:val="nil"/>
              <w:left w:val="nil"/>
              <w:bottom w:val="nil"/>
              <w:right w:val="nil"/>
            </w:tcBorders>
            <w:vAlign w:val="center"/>
          </w:tcPr>
          <w:p w14:paraId="4CDB34E6" w14:textId="656D0E7E" w:rsidR="002D297E" w:rsidRPr="00F63FD5" w:rsidRDefault="00B309E3" w:rsidP="00F35591">
            <w:pPr>
              <w:jc w:val="center"/>
              <w:rPr>
                <w:rFonts w:ascii="Arial" w:hAnsi="Arial" w:cs="Arial"/>
                <w:sz w:val="16"/>
                <w:szCs w:val="16"/>
              </w:rPr>
            </w:pPr>
            <w:r>
              <w:rPr>
                <w:rFonts w:ascii="Arial" w:hAnsi="Arial" w:cs="Arial"/>
                <w:sz w:val="16"/>
                <w:szCs w:val="16"/>
              </w:rPr>
              <w:t>5.0</w:t>
            </w:r>
          </w:p>
        </w:tc>
        <w:tc>
          <w:tcPr>
            <w:tcW w:w="708" w:type="dxa"/>
            <w:tcBorders>
              <w:top w:val="nil"/>
              <w:left w:val="nil"/>
              <w:bottom w:val="nil"/>
              <w:right w:val="nil"/>
            </w:tcBorders>
            <w:tcMar>
              <w:top w:w="0" w:type="dxa"/>
              <w:left w:w="28" w:type="dxa"/>
              <w:bottom w:w="0" w:type="dxa"/>
              <w:right w:w="28" w:type="dxa"/>
            </w:tcMar>
            <w:vAlign w:val="center"/>
          </w:tcPr>
          <w:p w14:paraId="10893BEA" w14:textId="26B126F2" w:rsidR="002D297E" w:rsidRPr="00F63FD5" w:rsidRDefault="00B309E3" w:rsidP="00F35591">
            <w:pPr>
              <w:jc w:val="center"/>
              <w:rPr>
                <w:rFonts w:ascii="Arial" w:hAnsi="Arial" w:cs="Arial"/>
                <w:sz w:val="16"/>
                <w:szCs w:val="16"/>
              </w:rPr>
            </w:pPr>
            <w:r>
              <w:rPr>
                <w:rFonts w:ascii="Arial" w:hAnsi="Arial" w:cs="Arial"/>
                <w:sz w:val="16"/>
                <w:szCs w:val="16"/>
              </w:rPr>
              <w:t>24.7</w:t>
            </w:r>
          </w:p>
        </w:tc>
        <w:tc>
          <w:tcPr>
            <w:tcW w:w="885" w:type="dxa"/>
            <w:tcBorders>
              <w:top w:val="nil"/>
              <w:left w:val="nil"/>
              <w:bottom w:val="nil"/>
              <w:right w:val="nil"/>
            </w:tcBorders>
            <w:vAlign w:val="center"/>
          </w:tcPr>
          <w:p w14:paraId="7BCC4A1C" w14:textId="5189FD5F" w:rsidR="002D297E" w:rsidRPr="00F63FD5" w:rsidRDefault="00B309E3" w:rsidP="00F35591">
            <w:pPr>
              <w:jc w:val="center"/>
              <w:rPr>
                <w:rFonts w:ascii="Arial" w:hAnsi="Arial" w:cs="Arial"/>
                <w:sz w:val="16"/>
                <w:szCs w:val="16"/>
              </w:rPr>
            </w:pPr>
            <w:r>
              <w:rPr>
                <w:rFonts w:ascii="Arial" w:hAnsi="Arial" w:cs="Arial"/>
                <w:sz w:val="16"/>
                <w:szCs w:val="16"/>
              </w:rPr>
              <w:t>9.3</w:t>
            </w:r>
          </w:p>
        </w:tc>
      </w:tr>
      <w:tr w:rsidR="002D297E" w:rsidRPr="00F63FD5" w14:paraId="6E825DF2" w14:textId="77777777" w:rsidTr="00CA2B56">
        <w:trPr>
          <w:trHeight w:val="262"/>
        </w:trPr>
        <w:tc>
          <w:tcPr>
            <w:tcW w:w="2518" w:type="dxa"/>
            <w:tcBorders>
              <w:top w:val="nil"/>
              <w:left w:val="nil"/>
              <w:bottom w:val="nil"/>
              <w:right w:val="nil"/>
            </w:tcBorders>
            <w:shd w:val="clear" w:color="auto" w:fill="D9E2F3"/>
            <w:vAlign w:val="center"/>
            <w:hideMark/>
          </w:tcPr>
          <w:p w14:paraId="37C07037"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(hedged)</w:t>
            </w:r>
          </w:p>
        </w:tc>
        <w:tc>
          <w:tcPr>
            <w:tcW w:w="851" w:type="dxa"/>
            <w:tcBorders>
              <w:top w:val="nil"/>
              <w:left w:val="nil"/>
              <w:bottom w:val="nil"/>
              <w:right w:val="nil"/>
            </w:tcBorders>
            <w:shd w:val="clear" w:color="auto" w:fill="D9E2F3"/>
            <w:vAlign w:val="center"/>
          </w:tcPr>
          <w:p w14:paraId="6C9DBA41" w14:textId="70D24BAE" w:rsidR="002D297E" w:rsidRPr="00F63FD5" w:rsidRDefault="00B309E3" w:rsidP="00F35591">
            <w:pPr>
              <w:jc w:val="center"/>
              <w:rPr>
                <w:rFonts w:ascii="Arial" w:hAnsi="Arial" w:cs="Arial"/>
                <w:sz w:val="16"/>
                <w:szCs w:val="16"/>
              </w:rPr>
            </w:pPr>
            <w:r>
              <w:rPr>
                <w:rFonts w:ascii="Arial" w:hAnsi="Arial" w:cs="Arial"/>
                <w:sz w:val="16"/>
                <w:szCs w:val="16"/>
              </w:rPr>
              <w:t>-0.4</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79FF4C5E" w14:textId="6F6141DC" w:rsidR="002D297E" w:rsidRPr="00F63FD5" w:rsidRDefault="00B309E3" w:rsidP="00F35591">
            <w:pPr>
              <w:jc w:val="center"/>
              <w:rPr>
                <w:rFonts w:ascii="Arial" w:hAnsi="Arial" w:cs="Arial"/>
                <w:sz w:val="16"/>
                <w:szCs w:val="16"/>
              </w:rPr>
            </w:pPr>
            <w:r>
              <w:rPr>
                <w:rFonts w:ascii="Arial" w:hAnsi="Arial" w:cs="Arial"/>
                <w:sz w:val="16"/>
                <w:szCs w:val="16"/>
              </w:rPr>
              <w:t>17.9</w:t>
            </w:r>
          </w:p>
        </w:tc>
        <w:tc>
          <w:tcPr>
            <w:tcW w:w="885" w:type="dxa"/>
            <w:tcBorders>
              <w:top w:val="nil"/>
              <w:left w:val="nil"/>
              <w:bottom w:val="nil"/>
              <w:right w:val="nil"/>
            </w:tcBorders>
            <w:shd w:val="clear" w:color="auto" w:fill="D9E2F3"/>
            <w:vAlign w:val="center"/>
          </w:tcPr>
          <w:p w14:paraId="52219C9F" w14:textId="617B1FEE" w:rsidR="002D297E" w:rsidRPr="00F63FD5" w:rsidRDefault="00B309E3" w:rsidP="00F35591">
            <w:pPr>
              <w:jc w:val="center"/>
              <w:rPr>
                <w:rFonts w:ascii="Arial" w:hAnsi="Arial" w:cs="Arial"/>
                <w:sz w:val="16"/>
                <w:szCs w:val="16"/>
              </w:rPr>
            </w:pPr>
            <w:r>
              <w:rPr>
                <w:rFonts w:ascii="Arial" w:hAnsi="Arial" w:cs="Arial"/>
                <w:sz w:val="16"/>
                <w:szCs w:val="16"/>
              </w:rPr>
              <w:t>10.0</w:t>
            </w:r>
          </w:p>
        </w:tc>
      </w:tr>
      <w:tr w:rsidR="002D297E" w:rsidRPr="00F63FD5" w14:paraId="4DAD2926" w14:textId="77777777" w:rsidTr="00B0269B">
        <w:trPr>
          <w:trHeight w:val="262"/>
        </w:trPr>
        <w:tc>
          <w:tcPr>
            <w:tcW w:w="2518" w:type="dxa"/>
            <w:tcBorders>
              <w:top w:val="nil"/>
              <w:left w:val="nil"/>
              <w:bottom w:val="nil"/>
              <w:right w:val="nil"/>
            </w:tcBorders>
            <w:shd w:val="clear" w:color="auto" w:fill="FFFFFF" w:themeFill="background1"/>
            <w:vAlign w:val="center"/>
            <w:hideMark/>
          </w:tcPr>
          <w:p w14:paraId="1A5AF31E"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(unhedged)</w:t>
            </w:r>
          </w:p>
        </w:tc>
        <w:tc>
          <w:tcPr>
            <w:tcW w:w="851" w:type="dxa"/>
            <w:tcBorders>
              <w:top w:val="nil"/>
              <w:left w:val="nil"/>
              <w:bottom w:val="nil"/>
              <w:right w:val="nil"/>
            </w:tcBorders>
            <w:shd w:val="clear" w:color="auto" w:fill="FFFFFF" w:themeFill="background1"/>
            <w:vAlign w:val="center"/>
          </w:tcPr>
          <w:p w14:paraId="2E2D9673" w14:textId="108180EB" w:rsidR="002D297E" w:rsidRPr="00F63FD5" w:rsidRDefault="00B309E3" w:rsidP="00F35591">
            <w:pPr>
              <w:jc w:val="center"/>
              <w:rPr>
                <w:rFonts w:ascii="Arial" w:hAnsi="Arial" w:cs="Arial"/>
                <w:sz w:val="16"/>
                <w:szCs w:val="16"/>
              </w:rPr>
            </w:pPr>
            <w:r>
              <w:rPr>
                <w:rFonts w:ascii="Arial" w:hAnsi="Arial" w:cs="Arial"/>
                <w:sz w:val="16"/>
                <w:szCs w:val="16"/>
              </w:rPr>
              <w:t>4.3</w:t>
            </w:r>
          </w:p>
        </w:tc>
        <w:tc>
          <w:tcPr>
            <w:tcW w:w="708"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25F1775F" w14:textId="406B3F4D" w:rsidR="002D297E" w:rsidRPr="00F63FD5" w:rsidRDefault="00B309E3" w:rsidP="00F35591">
            <w:pPr>
              <w:jc w:val="center"/>
              <w:rPr>
                <w:rFonts w:ascii="Arial" w:hAnsi="Arial" w:cs="Arial"/>
                <w:sz w:val="16"/>
                <w:szCs w:val="16"/>
              </w:rPr>
            </w:pPr>
            <w:r>
              <w:rPr>
                <w:rFonts w:ascii="Arial" w:hAnsi="Arial" w:cs="Arial"/>
                <w:sz w:val="16"/>
                <w:szCs w:val="16"/>
              </w:rPr>
              <w:t>28.3</w:t>
            </w:r>
          </w:p>
        </w:tc>
        <w:tc>
          <w:tcPr>
            <w:tcW w:w="885" w:type="dxa"/>
            <w:tcBorders>
              <w:top w:val="nil"/>
              <w:left w:val="nil"/>
              <w:bottom w:val="nil"/>
              <w:right w:val="nil"/>
            </w:tcBorders>
            <w:shd w:val="clear" w:color="auto" w:fill="FFFFFF" w:themeFill="background1"/>
            <w:vAlign w:val="center"/>
          </w:tcPr>
          <w:p w14:paraId="3B7D36D4" w14:textId="34724FA4" w:rsidR="002D297E" w:rsidRPr="00F63FD5" w:rsidRDefault="00B309E3" w:rsidP="00F35591">
            <w:pPr>
              <w:jc w:val="center"/>
              <w:rPr>
                <w:rFonts w:ascii="Arial" w:hAnsi="Arial" w:cs="Arial"/>
                <w:sz w:val="16"/>
                <w:szCs w:val="16"/>
              </w:rPr>
            </w:pPr>
            <w:r>
              <w:rPr>
                <w:rFonts w:ascii="Arial" w:hAnsi="Arial" w:cs="Arial"/>
                <w:sz w:val="16"/>
                <w:szCs w:val="16"/>
              </w:rPr>
              <w:t>12.4</w:t>
            </w:r>
          </w:p>
        </w:tc>
      </w:tr>
      <w:tr w:rsidR="002D297E" w:rsidRPr="00F63FD5" w14:paraId="1639635C" w14:textId="77777777" w:rsidTr="00CA2B56">
        <w:trPr>
          <w:trHeight w:val="262"/>
        </w:trPr>
        <w:tc>
          <w:tcPr>
            <w:tcW w:w="2518" w:type="dxa"/>
            <w:tcBorders>
              <w:top w:val="nil"/>
              <w:left w:val="nil"/>
              <w:bottom w:val="nil"/>
              <w:right w:val="nil"/>
            </w:tcBorders>
            <w:shd w:val="clear" w:color="auto" w:fill="D9E2F3"/>
            <w:vAlign w:val="center"/>
            <w:hideMark/>
          </w:tcPr>
          <w:p w14:paraId="0710713F"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 xml:space="preserve">Global </w:t>
            </w:r>
            <w:r w:rsidR="000D3C9B">
              <w:rPr>
                <w:rFonts w:ascii="Arial" w:hAnsi="Arial" w:cs="Arial"/>
                <w:b/>
                <w:color w:val="auto"/>
                <w:sz w:val="16"/>
              </w:rPr>
              <w:t>small</w:t>
            </w:r>
            <w:r w:rsidRPr="00F63FD5">
              <w:rPr>
                <w:rFonts w:ascii="Arial" w:hAnsi="Arial" w:cs="Arial"/>
                <w:b/>
                <w:color w:val="auto"/>
                <w:sz w:val="16"/>
              </w:rPr>
              <w:t xml:space="preserve"> </w:t>
            </w:r>
            <w:r w:rsidR="000D3C9B">
              <w:rPr>
                <w:rFonts w:ascii="Arial" w:hAnsi="Arial" w:cs="Arial"/>
                <w:b/>
                <w:color w:val="auto"/>
                <w:sz w:val="16"/>
              </w:rPr>
              <w:t>companies</w:t>
            </w:r>
            <w:r w:rsidRPr="00F63FD5">
              <w:rPr>
                <w:rFonts w:ascii="Arial" w:hAnsi="Arial" w:cs="Arial"/>
                <w:b/>
                <w:color w:val="auto"/>
                <w:sz w:val="16"/>
              </w:rPr>
              <w:t xml:space="preserve"> (unhedged)</w:t>
            </w:r>
          </w:p>
        </w:tc>
        <w:tc>
          <w:tcPr>
            <w:tcW w:w="851" w:type="dxa"/>
            <w:tcBorders>
              <w:top w:val="nil"/>
              <w:left w:val="nil"/>
              <w:bottom w:val="nil"/>
              <w:right w:val="nil"/>
            </w:tcBorders>
            <w:shd w:val="clear" w:color="auto" w:fill="D9E2F3"/>
            <w:vAlign w:val="center"/>
          </w:tcPr>
          <w:p w14:paraId="1CD53A95" w14:textId="233857BD" w:rsidR="002D297E" w:rsidRPr="00F63FD5" w:rsidRDefault="00B309E3" w:rsidP="00F35591">
            <w:pPr>
              <w:jc w:val="center"/>
              <w:rPr>
                <w:rFonts w:ascii="Arial" w:hAnsi="Arial" w:cs="Arial"/>
                <w:sz w:val="16"/>
                <w:szCs w:val="16"/>
              </w:rPr>
            </w:pPr>
            <w:r>
              <w:rPr>
                <w:rFonts w:ascii="Arial" w:hAnsi="Arial" w:cs="Arial"/>
                <w:sz w:val="16"/>
                <w:szCs w:val="16"/>
              </w:rPr>
              <w:t>2.0</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3B351E8D" w14:textId="2C1E53BA" w:rsidR="002D297E" w:rsidRPr="00F63FD5" w:rsidRDefault="00B309E3" w:rsidP="00F35591">
            <w:pPr>
              <w:jc w:val="center"/>
              <w:rPr>
                <w:rFonts w:ascii="Arial" w:hAnsi="Arial" w:cs="Arial"/>
                <w:sz w:val="16"/>
                <w:szCs w:val="16"/>
              </w:rPr>
            </w:pPr>
            <w:r>
              <w:rPr>
                <w:rFonts w:ascii="Arial" w:hAnsi="Arial" w:cs="Arial"/>
                <w:sz w:val="16"/>
                <w:szCs w:val="16"/>
              </w:rPr>
              <w:t>20.8</w:t>
            </w:r>
          </w:p>
        </w:tc>
        <w:tc>
          <w:tcPr>
            <w:tcW w:w="885" w:type="dxa"/>
            <w:tcBorders>
              <w:top w:val="nil"/>
              <w:left w:val="nil"/>
              <w:bottom w:val="nil"/>
              <w:right w:val="nil"/>
            </w:tcBorders>
            <w:shd w:val="clear" w:color="auto" w:fill="D9E2F3"/>
            <w:vAlign w:val="center"/>
          </w:tcPr>
          <w:p w14:paraId="7FE1D871" w14:textId="3CBBF74F" w:rsidR="002D297E" w:rsidRPr="00F63FD5" w:rsidRDefault="00B309E3" w:rsidP="00F35591">
            <w:pPr>
              <w:jc w:val="center"/>
              <w:rPr>
                <w:rFonts w:ascii="Arial" w:hAnsi="Arial" w:cs="Arial"/>
                <w:sz w:val="16"/>
                <w:szCs w:val="16"/>
              </w:rPr>
            </w:pPr>
            <w:r>
              <w:rPr>
                <w:rFonts w:ascii="Arial" w:hAnsi="Arial" w:cs="Arial"/>
                <w:sz w:val="16"/>
                <w:szCs w:val="16"/>
              </w:rPr>
              <w:t>11.5</w:t>
            </w:r>
          </w:p>
        </w:tc>
      </w:tr>
      <w:tr w:rsidR="002D297E" w:rsidRPr="00F63FD5" w14:paraId="195D886B" w14:textId="77777777" w:rsidTr="00B0269B">
        <w:trPr>
          <w:trHeight w:val="262"/>
        </w:trPr>
        <w:tc>
          <w:tcPr>
            <w:tcW w:w="2518" w:type="dxa"/>
            <w:tcBorders>
              <w:top w:val="nil"/>
              <w:left w:val="nil"/>
              <w:bottom w:val="nil"/>
              <w:right w:val="nil"/>
            </w:tcBorders>
            <w:vAlign w:val="center"/>
            <w:hideMark/>
          </w:tcPr>
          <w:p w14:paraId="32A58116" w14:textId="77777777" w:rsidR="002D297E" w:rsidRPr="00F63FD5" w:rsidRDefault="000D3C9B" w:rsidP="002D297E">
            <w:pPr>
              <w:pStyle w:val="Table1"/>
              <w:ind w:right="33"/>
              <w:rPr>
                <w:rFonts w:ascii="Arial" w:hAnsi="Arial" w:cs="Arial"/>
                <w:b/>
                <w:color w:val="auto"/>
                <w:sz w:val="16"/>
              </w:rPr>
            </w:pPr>
            <w:r w:rsidRPr="00F63FD5">
              <w:rPr>
                <w:rFonts w:ascii="Arial" w:hAnsi="Arial" w:cs="Arial"/>
                <w:b/>
                <w:color w:val="auto"/>
                <w:sz w:val="16"/>
              </w:rPr>
              <w:t>Global emerging markets (unhedged)</w:t>
            </w:r>
          </w:p>
        </w:tc>
        <w:tc>
          <w:tcPr>
            <w:tcW w:w="851" w:type="dxa"/>
            <w:tcBorders>
              <w:top w:val="nil"/>
              <w:left w:val="nil"/>
              <w:bottom w:val="nil"/>
              <w:right w:val="nil"/>
            </w:tcBorders>
            <w:shd w:val="clear" w:color="auto" w:fill="auto"/>
            <w:vAlign w:val="center"/>
          </w:tcPr>
          <w:p w14:paraId="1255F978" w14:textId="3728254C" w:rsidR="002D297E" w:rsidRPr="00F63FD5" w:rsidRDefault="00B309E3" w:rsidP="00F35591">
            <w:pPr>
              <w:jc w:val="center"/>
              <w:rPr>
                <w:rFonts w:ascii="Arial" w:hAnsi="Arial" w:cs="Arial"/>
                <w:sz w:val="16"/>
                <w:szCs w:val="16"/>
              </w:rPr>
            </w:pPr>
            <w:r>
              <w:rPr>
                <w:rFonts w:ascii="Arial" w:hAnsi="Arial" w:cs="Arial"/>
                <w:sz w:val="16"/>
                <w:szCs w:val="16"/>
              </w:rPr>
              <w:t>0.1</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14:paraId="07502738" w14:textId="02EFD638" w:rsidR="002D297E" w:rsidRPr="00F63FD5" w:rsidRDefault="00B309E3" w:rsidP="00F35591">
            <w:pPr>
              <w:jc w:val="center"/>
              <w:rPr>
                <w:rFonts w:ascii="Arial" w:hAnsi="Arial" w:cs="Arial"/>
                <w:sz w:val="16"/>
                <w:szCs w:val="16"/>
              </w:rPr>
            </w:pPr>
            <w:r>
              <w:rPr>
                <w:rFonts w:ascii="Arial" w:hAnsi="Arial" w:cs="Arial"/>
                <w:sz w:val="16"/>
                <w:szCs w:val="16"/>
              </w:rPr>
              <w:t>13.1</w:t>
            </w:r>
          </w:p>
        </w:tc>
        <w:tc>
          <w:tcPr>
            <w:tcW w:w="885" w:type="dxa"/>
            <w:tcBorders>
              <w:top w:val="nil"/>
              <w:left w:val="nil"/>
              <w:bottom w:val="nil"/>
              <w:right w:val="nil"/>
            </w:tcBorders>
            <w:shd w:val="clear" w:color="auto" w:fill="auto"/>
            <w:vAlign w:val="center"/>
          </w:tcPr>
          <w:p w14:paraId="28FD52C8" w14:textId="70E9390D" w:rsidR="002D297E" w:rsidRPr="00F63FD5" w:rsidRDefault="00B309E3" w:rsidP="00F35591">
            <w:pPr>
              <w:jc w:val="center"/>
              <w:rPr>
                <w:rFonts w:ascii="Arial" w:hAnsi="Arial" w:cs="Arial"/>
                <w:sz w:val="16"/>
                <w:szCs w:val="16"/>
              </w:rPr>
            </w:pPr>
            <w:r>
              <w:rPr>
                <w:rFonts w:ascii="Arial" w:hAnsi="Arial" w:cs="Arial"/>
                <w:sz w:val="16"/>
                <w:szCs w:val="16"/>
              </w:rPr>
              <w:t>7.7</w:t>
            </w:r>
          </w:p>
        </w:tc>
      </w:tr>
      <w:tr w:rsidR="002D297E" w:rsidRPr="00F63FD5" w14:paraId="6A370FBA" w14:textId="77777777" w:rsidTr="00CA2B56">
        <w:trPr>
          <w:trHeight w:val="262"/>
        </w:trPr>
        <w:tc>
          <w:tcPr>
            <w:tcW w:w="2518" w:type="dxa"/>
            <w:tcBorders>
              <w:top w:val="nil"/>
              <w:left w:val="nil"/>
              <w:bottom w:val="nil"/>
              <w:right w:val="nil"/>
            </w:tcBorders>
            <w:shd w:val="clear" w:color="auto" w:fill="D9E2F3"/>
            <w:vAlign w:val="center"/>
            <w:hideMark/>
          </w:tcPr>
          <w:p w14:paraId="34472878"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listed property</w:t>
            </w:r>
            <w:r w:rsidR="00F62A5F">
              <w:rPr>
                <w:rFonts w:ascii="Arial" w:hAnsi="Arial" w:cs="Arial"/>
                <w:b/>
                <w:color w:val="auto"/>
                <w:sz w:val="16"/>
              </w:rPr>
              <w:t xml:space="preserve"> (hedged)</w:t>
            </w:r>
          </w:p>
        </w:tc>
        <w:tc>
          <w:tcPr>
            <w:tcW w:w="851" w:type="dxa"/>
            <w:tcBorders>
              <w:top w:val="nil"/>
              <w:left w:val="nil"/>
              <w:bottom w:val="nil"/>
              <w:right w:val="nil"/>
            </w:tcBorders>
            <w:shd w:val="clear" w:color="auto" w:fill="D9E2F3"/>
            <w:vAlign w:val="center"/>
          </w:tcPr>
          <w:p w14:paraId="28E854E5" w14:textId="782BA968" w:rsidR="002D297E" w:rsidRPr="00F63FD5" w:rsidRDefault="00B309E3" w:rsidP="00F35591">
            <w:pPr>
              <w:jc w:val="center"/>
              <w:rPr>
                <w:rFonts w:ascii="Arial" w:hAnsi="Arial" w:cs="Arial"/>
                <w:sz w:val="16"/>
                <w:szCs w:val="16"/>
              </w:rPr>
            </w:pPr>
            <w:r>
              <w:rPr>
                <w:rFonts w:ascii="Arial" w:hAnsi="Arial" w:cs="Arial"/>
                <w:sz w:val="16"/>
                <w:szCs w:val="16"/>
              </w:rPr>
              <w:t>1.3</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740D8BBD" w14:textId="28CEB0D1" w:rsidR="002D297E" w:rsidRPr="00F63FD5" w:rsidRDefault="00B309E3" w:rsidP="00F35591">
            <w:pPr>
              <w:jc w:val="center"/>
              <w:rPr>
                <w:rFonts w:ascii="Arial" w:hAnsi="Arial" w:cs="Arial"/>
                <w:sz w:val="16"/>
                <w:szCs w:val="16"/>
              </w:rPr>
            </w:pPr>
            <w:r>
              <w:rPr>
                <w:rFonts w:ascii="Arial" w:hAnsi="Arial" w:cs="Arial"/>
                <w:sz w:val="16"/>
                <w:szCs w:val="16"/>
              </w:rPr>
              <w:t>11.6</w:t>
            </w:r>
          </w:p>
        </w:tc>
        <w:tc>
          <w:tcPr>
            <w:tcW w:w="885" w:type="dxa"/>
            <w:tcBorders>
              <w:top w:val="nil"/>
              <w:left w:val="nil"/>
              <w:bottom w:val="nil"/>
              <w:right w:val="nil"/>
            </w:tcBorders>
            <w:shd w:val="clear" w:color="auto" w:fill="D9E2F3"/>
            <w:vAlign w:val="center"/>
          </w:tcPr>
          <w:p w14:paraId="46B6B47E" w14:textId="03894607" w:rsidR="002D297E" w:rsidRPr="00F63FD5" w:rsidRDefault="00B309E3" w:rsidP="00F35591">
            <w:pPr>
              <w:jc w:val="center"/>
              <w:rPr>
                <w:rFonts w:ascii="Arial" w:hAnsi="Arial" w:cs="Arial"/>
                <w:sz w:val="16"/>
                <w:szCs w:val="16"/>
              </w:rPr>
            </w:pPr>
            <w:r>
              <w:rPr>
                <w:rFonts w:ascii="Arial" w:hAnsi="Arial" w:cs="Arial"/>
                <w:sz w:val="16"/>
                <w:szCs w:val="16"/>
              </w:rPr>
              <w:t>5.8</w:t>
            </w:r>
          </w:p>
        </w:tc>
      </w:tr>
      <w:tr w:rsidR="002D297E" w:rsidRPr="00F63FD5" w14:paraId="12A21D31" w14:textId="77777777" w:rsidTr="00B0269B">
        <w:trPr>
          <w:trHeight w:val="262"/>
        </w:trPr>
        <w:tc>
          <w:tcPr>
            <w:tcW w:w="2518" w:type="dxa"/>
            <w:tcBorders>
              <w:top w:val="nil"/>
              <w:left w:val="nil"/>
              <w:bottom w:val="nil"/>
              <w:right w:val="nil"/>
            </w:tcBorders>
            <w:shd w:val="clear" w:color="auto" w:fill="auto"/>
            <w:vAlign w:val="center"/>
            <w:hideMark/>
          </w:tcPr>
          <w:p w14:paraId="5D63371F"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Cash</w:t>
            </w:r>
          </w:p>
        </w:tc>
        <w:tc>
          <w:tcPr>
            <w:tcW w:w="851" w:type="dxa"/>
            <w:tcBorders>
              <w:top w:val="nil"/>
              <w:left w:val="nil"/>
              <w:bottom w:val="nil"/>
              <w:right w:val="nil"/>
            </w:tcBorders>
            <w:shd w:val="clear" w:color="auto" w:fill="auto"/>
            <w:vAlign w:val="center"/>
          </w:tcPr>
          <w:p w14:paraId="42469753" w14:textId="03B5FA4F" w:rsidR="002D297E" w:rsidRPr="00F63FD5" w:rsidRDefault="00B309E3" w:rsidP="00F35591">
            <w:pPr>
              <w:jc w:val="center"/>
              <w:rPr>
                <w:rFonts w:ascii="Arial" w:hAnsi="Arial" w:cs="Arial"/>
                <w:sz w:val="16"/>
                <w:szCs w:val="16"/>
              </w:rPr>
            </w:pPr>
            <w:r>
              <w:rPr>
                <w:rFonts w:ascii="Arial" w:hAnsi="Arial" w:cs="Arial"/>
                <w:sz w:val="16"/>
                <w:szCs w:val="16"/>
              </w:rPr>
              <w:t>0.1</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14:paraId="292816AF" w14:textId="63696574" w:rsidR="002D297E" w:rsidRPr="00F63FD5" w:rsidRDefault="00B309E3" w:rsidP="00F35591">
            <w:pPr>
              <w:jc w:val="center"/>
              <w:rPr>
                <w:rFonts w:ascii="Arial" w:hAnsi="Arial" w:cs="Arial"/>
                <w:sz w:val="16"/>
                <w:szCs w:val="16"/>
              </w:rPr>
            </w:pPr>
            <w:r>
              <w:rPr>
                <w:rFonts w:ascii="Arial" w:hAnsi="Arial" w:cs="Arial"/>
                <w:sz w:val="16"/>
                <w:szCs w:val="16"/>
              </w:rPr>
              <w:t>1.4</w:t>
            </w:r>
          </w:p>
        </w:tc>
        <w:tc>
          <w:tcPr>
            <w:tcW w:w="885" w:type="dxa"/>
            <w:tcBorders>
              <w:top w:val="nil"/>
              <w:left w:val="nil"/>
              <w:bottom w:val="nil"/>
              <w:right w:val="nil"/>
            </w:tcBorders>
            <w:shd w:val="clear" w:color="auto" w:fill="auto"/>
            <w:vAlign w:val="center"/>
          </w:tcPr>
          <w:p w14:paraId="01FAEEA7" w14:textId="2C147FEF" w:rsidR="002D297E" w:rsidRPr="00F63FD5" w:rsidRDefault="00B309E3" w:rsidP="00F35591">
            <w:pPr>
              <w:jc w:val="center"/>
              <w:rPr>
                <w:rFonts w:ascii="Arial" w:hAnsi="Arial" w:cs="Arial"/>
                <w:sz w:val="16"/>
                <w:szCs w:val="16"/>
              </w:rPr>
            </w:pPr>
            <w:r>
              <w:rPr>
                <w:rFonts w:ascii="Arial" w:hAnsi="Arial" w:cs="Arial"/>
                <w:sz w:val="16"/>
                <w:szCs w:val="16"/>
              </w:rPr>
              <w:t>1.9</w:t>
            </w:r>
          </w:p>
        </w:tc>
      </w:tr>
      <w:tr w:rsidR="002D297E" w:rsidRPr="00F63FD5" w14:paraId="2CBE2C12" w14:textId="77777777" w:rsidTr="00CA2B56">
        <w:trPr>
          <w:trHeight w:val="262"/>
        </w:trPr>
        <w:tc>
          <w:tcPr>
            <w:tcW w:w="2518" w:type="dxa"/>
            <w:tcBorders>
              <w:top w:val="nil"/>
              <w:left w:val="nil"/>
              <w:bottom w:val="nil"/>
              <w:right w:val="nil"/>
            </w:tcBorders>
            <w:shd w:val="clear" w:color="auto" w:fill="D9E2F3"/>
            <w:vAlign w:val="center"/>
            <w:hideMark/>
          </w:tcPr>
          <w:p w14:paraId="70468DD5"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fixed income</w:t>
            </w:r>
          </w:p>
        </w:tc>
        <w:tc>
          <w:tcPr>
            <w:tcW w:w="851" w:type="dxa"/>
            <w:tcBorders>
              <w:top w:val="nil"/>
              <w:left w:val="nil"/>
              <w:bottom w:val="nil"/>
              <w:right w:val="nil"/>
            </w:tcBorders>
            <w:shd w:val="clear" w:color="auto" w:fill="D9E2F3"/>
            <w:vAlign w:val="center"/>
          </w:tcPr>
          <w:p w14:paraId="5DBC1B97" w14:textId="3AB55A64" w:rsidR="002D297E" w:rsidRPr="00F63FD5" w:rsidRDefault="00B309E3" w:rsidP="00F35591">
            <w:pPr>
              <w:jc w:val="center"/>
              <w:rPr>
                <w:rFonts w:ascii="Arial" w:hAnsi="Arial" w:cs="Arial"/>
                <w:sz w:val="16"/>
                <w:szCs w:val="16"/>
              </w:rPr>
            </w:pPr>
            <w:r>
              <w:rPr>
                <w:rFonts w:ascii="Arial" w:hAnsi="Arial" w:cs="Arial"/>
                <w:sz w:val="16"/>
                <w:szCs w:val="16"/>
              </w:rPr>
              <w:t>2.3</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147B4966" w14:textId="6B7A2EA6" w:rsidR="002D297E" w:rsidRPr="00F63FD5" w:rsidRDefault="00B309E3" w:rsidP="00F35591">
            <w:pPr>
              <w:jc w:val="center"/>
              <w:rPr>
                <w:rFonts w:ascii="Arial" w:hAnsi="Arial" w:cs="Arial"/>
                <w:sz w:val="16"/>
                <w:szCs w:val="16"/>
              </w:rPr>
            </w:pPr>
            <w:r>
              <w:rPr>
                <w:rFonts w:ascii="Arial" w:hAnsi="Arial" w:cs="Arial"/>
                <w:sz w:val="16"/>
                <w:szCs w:val="16"/>
              </w:rPr>
              <w:t>9.1</w:t>
            </w:r>
          </w:p>
        </w:tc>
        <w:tc>
          <w:tcPr>
            <w:tcW w:w="885" w:type="dxa"/>
            <w:tcBorders>
              <w:top w:val="nil"/>
              <w:left w:val="nil"/>
              <w:bottom w:val="nil"/>
              <w:right w:val="nil"/>
            </w:tcBorders>
            <w:shd w:val="clear" w:color="auto" w:fill="D9E2F3"/>
            <w:vAlign w:val="center"/>
          </w:tcPr>
          <w:p w14:paraId="58BB83DA" w14:textId="5AEA1934" w:rsidR="002D297E" w:rsidRPr="00F63FD5" w:rsidRDefault="00B309E3" w:rsidP="00F35591">
            <w:pPr>
              <w:jc w:val="center"/>
              <w:rPr>
                <w:rFonts w:ascii="Arial" w:hAnsi="Arial" w:cs="Arial"/>
                <w:sz w:val="16"/>
                <w:szCs w:val="16"/>
              </w:rPr>
            </w:pPr>
            <w:r>
              <w:rPr>
                <w:rFonts w:ascii="Arial" w:hAnsi="Arial" w:cs="Arial"/>
                <w:sz w:val="16"/>
                <w:szCs w:val="16"/>
              </w:rPr>
              <w:t>4.3</w:t>
            </w:r>
          </w:p>
        </w:tc>
      </w:tr>
      <w:tr w:rsidR="002D297E" w:rsidRPr="00F63FD5" w14:paraId="428C7351" w14:textId="77777777" w:rsidTr="00B0269B">
        <w:trPr>
          <w:trHeight w:val="372"/>
        </w:trPr>
        <w:tc>
          <w:tcPr>
            <w:tcW w:w="2518" w:type="dxa"/>
            <w:tcBorders>
              <w:top w:val="nil"/>
              <w:left w:val="nil"/>
              <w:bottom w:val="single" w:sz="4" w:space="0" w:color="BFBFBF" w:themeColor="background1" w:themeShade="BF"/>
              <w:right w:val="nil"/>
            </w:tcBorders>
            <w:vAlign w:val="center"/>
            <w:hideMark/>
          </w:tcPr>
          <w:p w14:paraId="16AD7B45" w14:textId="77777777" w:rsidR="002D297E" w:rsidRPr="00F63FD5" w:rsidRDefault="002D297E" w:rsidP="002D297E">
            <w:pPr>
              <w:pStyle w:val="Table1"/>
              <w:spacing w:after="0"/>
              <w:ind w:right="33"/>
              <w:rPr>
                <w:rFonts w:ascii="Arial" w:hAnsi="Arial" w:cs="Arial"/>
                <w:b/>
                <w:color w:val="auto"/>
                <w:sz w:val="16"/>
              </w:rPr>
            </w:pPr>
            <w:r w:rsidRPr="00F63FD5">
              <w:rPr>
                <w:rFonts w:ascii="Arial" w:hAnsi="Arial" w:cs="Arial"/>
                <w:b/>
                <w:color w:val="auto"/>
                <w:sz w:val="16"/>
              </w:rPr>
              <w:t>International fixed income</w:t>
            </w:r>
          </w:p>
        </w:tc>
        <w:tc>
          <w:tcPr>
            <w:tcW w:w="851" w:type="dxa"/>
            <w:tcBorders>
              <w:top w:val="nil"/>
              <w:left w:val="nil"/>
              <w:bottom w:val="single" w:sz="4" w:space="0" w:color="BFBFBF" w:themeColor="background1" w:themeShade="BF"/>
              <w:right w:val="nil"/>
            </w:tcBorders>
            <w:vAlign w:val="center"/>
          </w:tcPr>
          <w:p w14:paraId="185EB98B" w14:textId="4865D7E2" w:rsidR="002D297E" w:rsidRPr="00F63FD5" w:rsidRDefault="00B309E3" w:rsidP="00F35591">
            <w:pPr>
              <w:jc w:val="center"/>
              <w:rPr>
                <w:rFonts w:ascii="Arial" w:hAnsi="Arial" w:cs="Arial"/>
                <w:sz w:val="16"/>
                <w:szCs w:val="16"/>
              </w:rPr>
            </w:pPr>
            <w:r>
              <w:rPr>
                <w:rFonts w:ascii="Arial" w:hAnsi="Arial" w:cs="Arial"/>
                <w:sz w:val="16"/>
                <w:szCs w:val="16"/>
              </w:rPr>
              <w:t>1.8</w:t>
            </w:r>
          </w:p>
        </w:tc>
        <w:tc>
          <w:tcPr>
            <w:tcW w:w="708" w:type="dxa"/>
            <w:tcBorders>
              <w:top w:val="nil"/>
              <w:left w:val="nil"/>
              <w:bottom w:val="single" w:sz="4" w:space="0" w:color="BFBFBF" w:themeColor="background1" w:themeShade="BF"/>
              <w:right w:val="nil"/>
            </w:tcBorders>
            <w:tcMar>
              <w:top w:w="0" w:type="dxa"/>
              <w:left w:w="28" w:type="dxa"/>
              <w:bottom w:w="0" w:type="dxa"/>
              <w:right w:w="28" w:type="dxa"/>
            </w:tcMar>
            <w:vAlign w:val="center"/>
          </w:tcPr>
          <w:p w14:paraId="0500DB2C" w14:textId="428CEA70" w:rsidR="002D297E" w:rsidRPr="00F63FD5" w:rsidRDefault="00B309E3" w:rsidP="00F35591">
            <w:pPr>
              <w:jc w:val="center"/>
              <w:rPr>
                <w:rFonts w:ascii="Arial" w:hAnsi="Arial" w:cs="Arial"/>
                <w:sz w:val="16"/>
                <w:szCs w:val="16"/>
              </w:rPr>
            </w:pPr>
            <w:r>
              <w:rPr>
                <w:rFonts w:ascii="Arial" w:hAnsi="Arial" w:cs="Arial"/>
                <w:sz w:val="16"/>
                <w:szCs w:val="16"/>
              </w:rPr>
              <w:t>8.1</w:t>
            </w:r>
          </w:p>
        </w:tc>
        <w:tc>
          <w:tcPr>
            <w:tcW w:w="885" w:type="dxa"/>
            <w:tcBorders>
              <w:top w:val="nil"/>
              <w:left w:val="nil"/>
              <w:bottom w:val="single" w:sz="4" w:space="0" w:color="BFBFBF" w:themeColor="background1" w:themeShade="BF"/>
              <w:right w:val="nil"/>
            </w:tcBorders>
            <w:vAlign w:val="center"/>
          </w:tcPr>
          <w:p w14:paraId="0CE4DA04" w14:textId="29C63C07" w:rsidR="002D297E" w:rsidRPr="00F63FD5" w:rsidRDefault="00B309E3" w:rsidP="00F35591">
            <w:pPr>
              <w:jc w:val="center"/>
              <w:rPr>
                <w:rFonts w:ascii="Arial" w:hAnsi="Arial" w:cs="Arial"/>
                <w:sz w:val="16"/>
                <w:szCs w:val="16"/>
              </w:rPr>
            </w:pPr>
            <w:r>
              <w:rPr>
                <w:rFonts w:ascii="Arial" w:hAnsi="Arial" w:cs="Arial"/>
                <w:sz w:val="16"/>
                <w:szCs w:val="16"/>
              </w:rPr>
              <w:t>4.1</w:t>
            </w:r>
          </w:p>
        </w:tc>
      </w:tr>
      <w:tr w:rsidR="002D297E" w:rsidRPr="00F63FD5" w14:paraId="047DBCD9" w14:textId="77777777" w:rsidTr="0044674B">
        <w:trPr>
          <w:trHeight w:val="77"/>
        </w:trPr>
        <w:tc>
          <w:tcPr>
            <w:tcW w:w="4962" w:type="dxa"/>
            <w:gridSpan w:val="4"/>
            <w:tcBorders>
              <w:top w:val="single" w:sz="4" w:space="0" w:color="BFBFBF" w:themeColor="background1" w:themeShade="BF"/>
              <w:left w:val="nil"/>
              <w:bottom w:val="nil"/>
              <w:right w:val="nil"/>
            </w:tcBorders>
            <w:vAlign w:val="center"/>
          </w:tcPr>
          <w:p w14:paraId="2130B62E" w14:textId="2B2163BE" w:rsidR="00F35591" w:rsidRPr="00F35591" w:rsidRDefault="00F35591" w:rsidP="00F35591">
            <w:pPr>
              <w:pStyle w:val="NoSpacing"/>
              <w:rPr>
                <w:rFonts w:cs="Arial"/>
                <w:sz w:val="11"/>
                <w:szCs w:val="11"/>
              </w:rPr>
            </w:pPr>
            <w:r w:rsidRPr="00F35591">
              <w:rPr>
                <w:rFonts w:cs="Arial"/>
                <w:b/>
                <w:sz w:val="11"/>
                <w:szCs w:val="11"/>
              </w:rPr>
              <w:t>Source</w:t>
            </w:r>
            <w:r w:rsidRPr="00F35591">
              <w:rPr>
                <w:rFonts w:cs="Arial"/>
                <w:sz w:val="11"/>
                <w:szCs w:val="11"/>
              </w:rPr>
              <w:t xml:space="preserve">: </w:t>
            </w:r>
            <w:r w:rsidR="00B309E3" w:rsidRPr="00B309E3">
              <w:rPr>
                <w:rFonts w:cs="Arial"/>
                <w:sz w:val="11"/>
                <w:szCs w:val="11"/>
              </w:rPr>
              <w:t>Bloomberg &amp; IOOF, 31 January 2020</w:t>
            </w:r>
          </w:p>
          <w:p w14:paraId="64C9CEB0" w14:textId="45717110" w:rsidR="008807F6" w:rsidRDefault="00F35591" w:rsidP="00F35591">
            <w:pPr>
              <w:pStyle w:val="NoSpacing"/>
              <w:rPr>
                <w:rFonts w:cs="Arial"/>
                <w:sz w:val="11"/>
                <w:szCs w:val="11"/>
              </w:rPr>
            </w:pPr>
            <w:r w:rsidRPr="00F35591">
              <w:rPr>
                <w:rFonts w:cs="Arial"/>
                <w:b/>
                <w:sz w:val="11"/>
                <w:szCs w:val="11"/>
              </w:rPr>
              <w:t>Indices used</w:t>
            </w:r>
            <w:r w:rsidRPr="00F35591">
              <w:rPr>
                <w:rFonts w:cs="Arial"/>
                <w:sz w:val="11"/>
                <w:szCs w:val="11"/>
              </w:rPr>
              <w:t xml:space="preserve">: </w:t>
            </w:r>
            <w:r w:rsidR="00B309E3" w:rsidRPr="00B309E3">
              <w:rPr>
                <w:rFonts w:cs="Arial"/>
                <w:sz w:val="11"/>
                <w:szCs w:val="11"/>
              </w:rPr>
              <w:t xml:space="preserve">Australian Shares: S&amp;P/ASX 200 Accumulation Index, Global shares (hedged): MSCI World ex Australia Net Total Return (in AUD), Global shares (unhedged): MSCI World ex Australia Hedged AUD Net Total Return Index; Global small companies (unhedged): MSCI World Small Cap Net Total Return USD Index (in AUD); Global emerging markets (unhedged): MSCI Emerging Markets EM Net Total Return AUD Index; Global listed property (hedged): FTSE EPRA/NAREIT Developed Index Hedged in AUD Net Total Return; Cash: Bloomberg </w:t>
            </w:r>
            <w:proofErr w:type="spellStart"/>
            <w:r w:rsidR="00B309E3" w:rsidRPr="00B309E3">
              <w:rPr>
                <w:rFonts w:cs="Arial"/>
                <w:sz w:val="11"/>
                <w:szCs w:val="11"/>
              </w:rPr>
              <w:t>AusBond</w:t>
            </w:r>
            <w:proofErr w:type="spellEnd"/>
            <w:r w:rsidR="00B309E3" w:rsidRPr="00B309E3">
              <w:rPr>
                <w:rFonts w:cs="Arial"/>
                <w:sz w:val="11"/>
                <w:szCs w:val="11"/>
              </w:rPr>
              <w:t xml:space="preserve"> Bank Bill Index; Australian fixed income: Bloomberg </w:t>
            </w:r>
            <w:proofErr w:type="spellStart"/>
            <w:r w:rsidR="00B309E3" w:rsidRPr="00B309E3">
              <w:rPr>
                <w:rFonts w:cs="Arial"/>
                <w:sz w:val="11"/>
                <w:szCs w:val="11"/>
              </w:rPr>
              <w:t>AusBond</w:t>
            </w:r>
            <w:proofErr w:type="spellEnd"/>
            <w:r w:rsidR="00B309E3" w:rsidRPr="00B309E3">
              <w:rPr>
                <w:rFonts w:cs="Arial"/>
                <w:sz w:val="11"/>
                <w:szCs w:val="11"/>
              </w:rPr>
              <w:t xml:space="preserve"> Composite 0+ </w:t>
            </w:r>
            <w:proofErr w:type="spellStart"/>
            <w:r w:rsidR="00B309E3" w:rsidRPr="00B309E3">
              <w:rPr>
                <w:rFonts w:cs="Arial"/>
                <w:sz w:val="11"/>
                <w:szCs w:val="11"/>
              </w:rPr>
              <w:t>Yr</w:t>
            </w:r>
            <w:proofErr w:type="spellEnd"/>
            <w:r w:rsidR="00B309E3" w:rsidRPr="00B309E3">
              <w:rPr>
                <w:rFonts w:cs="Arial"/>
                <w:sz w:val="11"/>
                <w:szCs w:val="11"/>
              </w:rPr>
              <w:t xml:space="preserve"> Index; International fixed income: Bloomberg Barclays Global Aggregate Total Return Index Value Hedged AUD</w:t>
            </w:r>
          </w:p>
          <w:p w14:paraId="2D0B16D2" w14:textId="6EEC9ADC" w:rsidR="00F35591" w:rsidRPr="00F35591" w:rsidRDefault="00F35591" w:rsidP="00F35591">
            <w:pPr>
              <w:pStyle w:val="NoSpacing"/>
              <w:rPr>
                <w:rFonts w:cs="Arial"/>
                <w:sz w:val="11"/>
                <w:szCs w:val="11"/>
              </w:rPr>
            </w:pPr>
            <w:r w:rsidRPr="00F35591">
              <w:rPr>
                <w:rFonts w:cs="Arial"/>
                <w:b/>
                <w:sz w:val="11"/>
                <w:szCs w:val="11"/>
              </w:rPr>
              <w:t>Please note</w:t>
            </w:r>
            <w:r w:rsidRPr="00F35591">
              <w:rPr>
                <w:rFonts w:cs="Arial"/>
                <w:sz w:val="11"/>
                <w:szCs w:val="11"/>
              </w:rPr>
              <w:t>:</w:t>
            </w:r>
            <w:r w:rsidR="00B309E3">
              <w:rPr>
                <w:rFonts w:cs="Arial"/>
                <w:sz w:val="11"/>
                <w:szCs w:val="11"/>
              </w:rPr>
              <w:t xml:space="preserve"> </w:t>
            </w:r>
            <w:r w:rsidR="00B309E3" w:rsidRPr="00B309E3">
              <w:rPr>
                <w:rFonts w:cs="Arial"/>
                <w:sz w:val="11"/>
                <w:szCs w:val="11"/>
              </w:rPr>
              <w:t>Past performance is not indicative of future performance</w:t>
            </w:r>
          </w:p>
          <w:p w14:paraId="1D774AD0" w14:textId="77777777" w:rsidR="002D297E" w:rsidRPr="00E0365A" w:rsidRDefault="002D297E" w:rsidP="00A7531F">
            <w:pPr>
              <w:pStyle w:val="NoSpacing"/>
              <w:rPr>
                <w:rFonts w:cs="Arial"/>
                <w:sz w:val="11"/>
                <w:szCs w:val="11"/>
              </w:rPr>
            </w:pPr>
          </w:p>
        </w:tc>
      </w:tr>
      <w:bookmarkEnd w:id="5"/>
    </w:tbl>
    <w:p w14:paraId="66C2758B" w14:textId="77777777" w:rsidR="00907456" w:rsidRDefault="00907456" w:rsidP="00DF776A">
      <w:pPr>
        <w:pStyle w:val="Subheading1"/>
        <w:spacing w:before="0" w:after="0" w:line="240" w:lineRule="auto"/>
        <w:ind w:left="142"/>
        <w:rPr>
          <w:rFonts w:ascii="Arial" w:hAnsi="Arial" w:cs="Arial"/>
          <w:color w:val="C9D712"/>
          <w:sz w:val="28"/>
          <w:szCs w:val="28"/>
        </w:rPr>
      </w:pPr>
    </w:p>
    <w:bookmarkEnd w:id="6"/>
    <w:p w14:paraId="214B9516" w14:textId="11A689F5" w:rsidR="00B309E3" w:rsidRDefault="004F1630" w:rsidP="00B309E3">
      <w:pPr>
        <w:pStyle w:val="Subheading1"/>
        <w:spacing w:before="0" w:after="0" w:line="240" w:lineRule="auto"/>
        <w:ind w:left="142"/>
        <w:rPr>
          <w:rFonts w:ascii="Arial" w:hAnsi="Arial" w:cs="Arial"/>
          <w:color w:val="C9D712"/>
          <w:sz w:val="28"/>
          <w:szCs w:val="28"/>
        </w:rPr>
      </w:pPr>
      <w:r w:rsidRPr="008E1904">
        <w:rPr>
          <w:rFonts w:ascii="Arial" w:hAnsi="Arial" w:cs="Arial"/>
          <w:color w:val="C9D712"/>
          <w:sz w:val="28"/>
          <w:szCs w:val="28"/>
        </w:rPr>
        <w:t>Currency</w:t>
      </w:r>
      <w:r w:rsidR="00F62A5F">
        <w:rPr>
          <w:rFonts w:ascii="Arial" w:hAnsi="Arial" w:cs="Arial"/>
          <w:color w:val="C9D712"/>
          <w:sz w:val="28"/>
          <w:szCs w:val="28"/>
        </w:rPr>
        <w:t xml:space="preserve"> markets</w:t>
      </w:r>
      <w:bookmarkStart w:id="7" w:name="_Hlk30077232"/>
    </w:p>
    <w:tbl>
      <w:tblPr>
        <w:tblpPr w:leftFromText="180" w:rightFromText="180" w:vertAnchor="text" w:horzAnchor="margin" w:tblpXSpec="right" w:tblpY="31"/>
        <w:tblW w:w="4928"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376"/>
        <w:gridCol w:w="850"/>
        <w:gridCol w:w="851"/>
        <w:gridCol w:w="851"/>
      </w:tblGrid>
      <w:tr w:rsidR="00B309E3" w:rsidRPr="00F63FD5" w14:paraId="607C4CE0" w14:textId="77777777" w:rsidTr="00B309E3">
        <w:trPr>
          <w:trHeight w:val="310"/>
          <w:tblHeader/>
        </w:trPr>
        <w:tc>
          <w:tcPr>
            <w:tcW w:w="2376" w:type="dxa"/>
            <w:tcBorders>
              <w:top w:val="single" w:sz="4" w:space="0" w:color="5D4F4B"/>
              <w:left w:val="nil"/>
              <w:bottom w:val="nil"/>
              <w:right w:val="nil"/>
            </w:tcBorders>
            <w:shd w:val="clear" w:color="auto" w:fill="004165"/>
            <w:vAlign w:val="center"/>
            <w:hideMark/>
          </w:tcPr>
          <w:p w14:paraId="5FA64F57" w14:textId="77777777" w:rsidR="00B309E3" w:rsidRPr="00F63FD5" w:rsidRDefault="00B309E3" w:rsidP="00B309E3">
            <w:pPr>
              <w:pStyle w:val="TableHeading"/>
              <w:spacing w:before="0" w:after="0"/>
              <w:rPr>
                <w:rFonts w:ascii="Arial" w:hAnsi="Arial" w:cs="Arial"/>
              </w:rPr>
            </w:pPr>
            <w:bookmarkStart w:id="8" w:name="_Hlk32224496"/>
            <w:r w:rsidRPr="00F63FD5">
              <w:rPr>
                <w:rFonts w:ascii="Arial" w:hAnsi="Arial" w:cs="Arial"/>
              </w:rPr>
              <w:t>Exchange rates</w:t>
            </w:r>
          </w:p>
        </w:tc>
        <w:tc>
          <w:tcPr>
            <w:tcW w:w="850" w:type="dxa"/>
            <w:tcBorders>
              <w:top w:val="single" w:sz="4" w:space="0" w:color="5D4F4B"/>
              <w:left w:val="nil"/>
              <w:bottom w:val="nil"/>
              <w:right w:val="nil"/>
            </w:tcBorders>
            <w:shd w:val="clear" w:color="auto" w:fill="004165"/>
            <w:vAlign w:val="center"/>
            <w:hideMark/>
          </w:tcPr>
          <w:p w14:paraId="0A3EA2A9" w14:textId="77777777" w:rsidR="00B309E3" w:rsidRPr="00F63FD5" w:rsidRDefault="00B309E3" w:rsidP="00B309E3">
            <w:pPr>
              <w:pStyle w:val="TableHeading"/>
              <w:spacing w:before="0" w:after="0"/>
              <w:jc w:val="center"/>
              <w:rPr>
                <w:rFonts w:ascii="Arial" w:hAnsi="Arial" w:cs="Arial"/>
              </w:rPr>
            </w:pPr>
            <w:r w:rsidRPr="00F63FD5">
              <w:rPr>
                <w:rFonts w:ascii="Arial" w:hAnsi="Arial" w:cs="Arial"/>
              </w:rPr>
              <w:t xml:space="preserve">At close on </w:t>
            </w:r>
            <w:r>
              <w:rPr>
                <w:rFonts w:ascii="Arial" w:hAnsi="Arial" w:cs="Arial"/>
              </w:rPr>
              <w:t>30/11</w:t>
            </w:r>
          </w:p>
        </w:tc>
        <w:tc>
          <w:tcPr>
            <w:tcW w:w="851"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14:paraId="1FF2F002" w14:textId="77777777" w:rsidR="00B309E3" w:rsidRPr="00F63FD5" w:rsidRDefault="00B309E3" w:rsidP="00B309E3">
            <w:pPr>
              <w:pStyle w:val="TableHeading"/>
              <w:spacing w:before="0" w:after="0"/>
              <w:jc w:val="center"/>
              <w:rPr>
                <w:rFonts w:ascii="Arial" w:hAnsi="Arial" w:cs="Arial"/>
              </w:rPr>
            </w:pPr>
            <w:r>
              <w:rPr>
                <w:rFonts w:ascii="Arial" w:hAnsi="Arial" w:cs="Arial"/>
              </w:rPr>
              <w:t xml:space="preserve">1 </w:t>
            </w:r>
            <w:r w:rsidRPr="00F63FD5">
              <w:rPr>
                <w:rFonts w:ascii="Arial" w:hAnsi="Arial" w:cs="Arial"/>
              </w:rPr>
              <w:t>month</w:t>
            </w:r>
            <w:r>
              <w:rPr>
                <w:rFonts w:ascii="Arial" w:hAnsi="Arial" w:cs="Arial"/>
              </w:rPr>
              <w:br/>
              <w:t>change</w:t>
            </w:r>
            <w:r>
              <w:rPr>
                <w:rFonts w:ascii="Arial" w:hAnsi="Arial" w:cs="Arial"/>
              </w:rPr>
              <w:br/>
              <w:t>%</w:t>
            </w:r>
          </w:p>
        </w:tc>
        <w:tc>
          <w:tcPr>
            <w:tcW w:w="851" w:type="dxa"/>
            <w:tcBorders>
              <w:top w:val="single" w:sz="4" w:space="0" w:color="5D4F4B"/>
              <w:left w:val="nil"/>
              <w:bottom w:val="nil"/>
              <w:right w:val="nil"/>
            </w:tcBorders>
            <w:shd w:val="clear" w:color="auto" w:fill="004165"/>
            <w:vAlign w:val="center"/>
          </w:tcPr>
          <w:p w14:paraId="45EE428F" w14:textId="77777777" w:rsidR="00B309E3" w:rsidRPr="00F63FD5" w:rsidRDefault="00B309E3" w:rsidP="00B309E3">
            <w:pPr>
              <w:pStyle w:val="TableHeading"/>
              <w:spacing w:before="0" w:after="0"/>
              <w:jc w:val="center"/>
              <w:rPr>
                <w:rFonts w:ascii="Arial" w:hAnsi="Arial" w:cs="Arial"/>
              </w:rPr>
            </w:pPr>
            <w:r>
              <w:rPr>
                <w:rFonts w:ascii="Arial" w:hAnsi="Arial" w:cs="Arial"/>
              </w:rPr>
              <w:t>1 year</w:t>
            </w:r>
            <w:r>
              <w:rPr>
                <w:rFonts w:ascii="Arial" w:hAnsi="Arial" w:cs="Arial"/>
              </w:rPr>
              <w:br/>
              <w:t xml:space="preserve">change </w:t>
            </w:r>
            <w:r>
              <w:rPr>
                <w:rFonts w:ascii="Arial" w:hAnsi="Arial" w:cs="Arial"/>
              </w:rPr>
              <w:br/>
              <w:t>%</w:t>
            </w:r>
          </w:p>
        </w:tc>
      </w:tr>
      <w:tr w:rsidR="00B309E3" w:rsidRPr="00F63FD5" w14:paraId="4D1FE32A" w14:textId="77777777" w:rsidTr="00B309E3">
        <w:trPr>
          <w:trHeight w:val="262"/>
        </w:trPr>
        <w:tc>
          <w:tcPr>
            <w:tcW w:w="2376" w:type="dxa"/>
            <w:tcBorders>
              <w:top w:val="nil"/>
              <w:left w:val="nil"/>
              <w:bottom w:val="nil"/>
              <w:right w:val="nil"/>
            </w:tcBorders>
            <w:shd w:val="clear" w:color="auto" w:fill="FFFFFF" w:themeFill="background1"/>
            <w:vAlign w:val="center"/>
            <w:hideMark/>
          </w:tcPr>
          <w:p w14:paraId="1B9E20EB" w14:textId="77777777" w:rsidR="00B309E3" w:rsidRPr="00F63FD5" w:rsidRDefault="00B309E3" w:rsidP="00B309E3">
            <w:pPr>
              <w:pStyle w:val="Table1"/>
              <w:ind w:right="33"/>
              <w:rPr>
                <w:rFonts w:ascii="Arial" w:hAnsi="Arial" w:cs="Arial"/>
                <w:b/>
                <w:color w:val="auto"/>
                <w:sz w:val="16"/>
              </w:rPr>
            </w:pPr>
            <w:r w:rsidRPr="00F63FD5">
              <w:rPr>
                <w:rFonts w:ascii="Arial" w:hAnsi="Arial" w:cs="Arial"/>
                <w:b/>
                <w:color w:val="auto"/>
                <w:sz w:val="16"/>
              </w:rPr>
              <w:t>USD</w:t>
            </w:r>
            <w:r>
              <w:rPr>
                <w:rFonts w:ascii="Arial" w:hAnsi="Arial" w:cs="Arial"/>
                <w:b/>
                <w:color w:val="auto"/>
                <w:sz w:val="16"/>
              </w:rPr>
              <w:t>/AUD</w:t>
            </w:r>
          </w:p>
        </w:tc>
        <w:tc>
          <w:tcPr>
            <w:tcW w:w="850" w:type="dxa"/>
            <w:tcBorders>
              <w:top w:val="nil"/>
              <w:left w:val="nil"/>
              <w:bottom w:val="nil"/>
              <w:right w:val="nil"/>
            </w:tcBorders>
            <w:shd w:val="clear" w:color="auto" w:fill="FFFFFF" w:themeFill="background1"/>
            <w:vAlign w:val="center"/>
          </w:tcPr>
          <w:p w14:paraId="1C618E4C" w14:textId="77777777" w:rsidR="00B309E3" w:rsidRPr="00404022" w:rsidRDefault="00B309E3" w:rsidP="00B309E3">
            <w:pPr>
              <w:pStyle w:val="Table1"/>
              <w:tabs>
                <w:tab w:val="left" w:pos="1168"/>
              </w:tabs>
              <w:ind w:right="-13"/>
              <w:jc w:val="center"/>
              <w:rPr>
                <w:rFonts w:ascii="Arial" w:hAnsi="Arial" w:cs="Arial"/>
                <w:color w:val="auto"/>
                <w:sz w:val="16"/>
              </w:rPr>
            </w:pPr>
            <w:r>
              <w:rPr>
                <w:rFonts w:ascii="Arial" w:hAnsi="Arial" w:cs="Arial"/>
                <w:color w:val="auto"/>
                <w:sz w:val="16"/>
              </w:rPr>
              <w:t>0.67</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659CB28E" w14:textId="77777777" w:rsidR="00B309E3" w:rsidRPr="0035118D"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-4.7</w:t>
            </w:r>
          </w:p>
        </w:tc>
        <w:tc>
          <w:tcPr>
            <w:tcW w:w="851" w:type="dxa"/>
            <w:tcBorders>
              <w:top w:val="nil"/>
              <w:left w:val="nil"/>
              <w:bottom w:val="nil"/>
              <w:right w:val="nil"/>
            </w:tcBorders>
            <w:shd w:val="clear" w:color="auto" w:fill="FFFFFF" w:themeFill="background1"/>
            <w:vAlign w:val="center"/>
          </w:tcPr>
          <w:p w14:paraId="477ACD39" w14:textId="77777777" w:rsidR="00B309E3" w:rsidRPr="00D93DD3"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-8.0</w:t>
            </w:r>
          </w:p>
        </w:tc>
      </w:tr>
      <w:tr w:rsidR="00B309E3" w:rsidRPr="00F63FD5" w14:paraId="01AC799A" w14:textId="77777777" w:rsidTr="00B309E3">
        <w:trPr>
          <w:trHeight w:val="262"/>
        </w:trPr>
        <w:tc>
          <w:tcPr>
            <w:tcW w:w="2376" w:type="dxa"/>
            <w:tcBorders>
              <w:top w:val="nil"/>
              <w:left w:val="nil"/>
              <w:bottom w:val="nil"/>
              <w:right w:val="nil"/>
            </w:tcBorders>
            <w:shd w:val="clear" w:color="auto" w:fill="D9E2F3"/>
            <w:vAlign w:val="center"/>
            <w:hideMark/>
          </w:tcPr>
          <w:p w14:paraId="5B5AABD5" w14:textId="77777777" w:rsidR="00B309E3" w:rsidRPr="00F63FD5" w:rsidRDefault="00B309E3" w:rsidP="00B309E3">
            <w:pPr>
              <w:pStyle w:val="Table1"/>
              <w:ind w:right="33"/>
              <w:rPr>
                <w:rFonts w:ascii="Arial" w:hAnsi="Arial" w:cs="Arial"/>
                <w:b/>
                <w:color w:val="auto"/>
                <w:sz w:val="16"/>
              </w:rPr>
            </w:pPr>
            <w:r>
              <w:rPr>
                <w:rFonts w:ascii="Arial" w:hAnsi="Arial" w:cs="Arial"/>
                <w:b/>
                <w:color w:val="auto"/>
                <w:sz w:val="16"/>
              </w:rPr>
              <w:t>E</w:t>
            </w:r>
            <w:r w:rsidRPr="00F63FD5">
              <w:rPr>
                <w:rFonts w:ascii="Arial" w:hAnsi="Arial" w:cs="Arial"/>
                <w:b/>
                <w:color w:val="auto"/>
                <w:sz w:val="16"/>
              </w:rPr>
              <w:t>uro</w:t>
            </w:r>
            <w:r>
              <w:rPr>
                <w:rFonts w:ascii="Arial" w:hAnsi="Arial" w:cs="Arial"/>
                <w:b/>
                <w:color w:val="auto"/>
                <w:sz w:val="16"/>
              </w:rPr>
              <w:t>/AUD</w:t>
            </w:r>
          </w:p>
        </w:tc>
        <w:tc>
          <w:tcPr>
            <w:tcW w:w="850" w:type="dxa"/>
            <w:tcBorders>
              <w:top w:val="nil"/>
              <w:left w:val="nil"/>
              <w:bottom w:val="nil"/>
              <w:right w:val="nil"/>
            </w:tcBorders>
            <w:shd w:val="clear" w:color="auto" w:fill="D9E2F3"/>
            <w:vAlign w:val="center"/>
          </w:tcPr>
          <w:p w14:paraId="407EE199" w14:textId="77777777" w:rsidR="00B309E3" w:rsidRPr="00F63FD5" w:rsidRDefault="00B309E3" w:rsidP="00B309E3">
            <w:pPr>
              <w:pStyle w:val="Table1"/>
              <w:tabs>
                <w:tab w:val="left" w:pos="1026"/>
              </w:tabs>
              <w:ind w:right="-13"/>
              <w:jc w:val="center"/>
              <w:rPr>
                <w:rFonts w:ascii="Arial" w:hAnsi="Arial" w:cs="Arial"/>
                <w:color w:val="auto"/>
                <w:sz w:val="16"/>
              </w:rPr>
            </w:pPr>
            <w:r>
              <w:rPr>
                <w:rFonts w:ascii="Arial" w:hAnsi="Arial" w:cs="Arial"/>
                <w:color w:val="auto"/>
                <w:sz w:val="16"/>
              </w:rPr>
              <w:t>0.60</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14:paraId="5EA16E8A" w14:textId="77777777" w:rsidR="00B309E3" w:rsidRPr="00F63FD5"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-3.6</w:t>
            </w:r>
          </w:p>
        </w:tc>
        <w:tc>
          <w:tcPr>
            <w:tcW w:w="851" w:type="dxa"/>
            <w:tcBorders>
              <w:top w:val="nil"/>
              <w:left w:val="nil"/>
              <w:bottom w:val="nil"/>
              <w:right w:val="nil"/>
            </w:tcBorders>
            <w:shd w:val="clear" w:color="auto" w:fill="D9E2F3"/>
            <w:vAlign w:val="center"/>
          </w:tcPr>
          <w:p w14:paraId="721A9AAB" w14:textId="77777777" w:rsidR="00B309E3" w:rsidRPr="00D93DD3"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-5.1</w:t>
            </w:r>
          </w:p>
        </w:tc>
      </w:tr>
      <w:tr w:rsidR="00B309E3" w:rsidRPr="00F63FD5" w14:paraId="1E3DF486" w14:textId="77777777" w:rsidTr="00B309E3">
        <w:trPr>
          <w:trHeight w:val="262"/>
        </w:trPr>
        <w:tc>
          <w:tcPr>
            <w:tcW w:w="2376" w:type="dxa"/>
            <w:tcBorders>
              <w:top w:val="nil"/>
              <w:left w:val="nil"/>
              <w:bottom w:val="nil"/>
              <w:right w:val="nil"/>
            </w:tcBorders>
            <w:shd w:val="clear" w:color="auto" w:fill="FFFFFF" w:themeFill="background1"/>
            <w:vAlign w:val="center"/>
            <w:hideMark/>
          </w:tcPr>
          <w:p w14:paraId="50C1B693" w14:textId="77777777" w:rsidR="00B309E3" w:rsidRPr="00F63FD5" w:rsidRDefault="00B309E3" w:rsidP="00B309E3">
            <w:pPr>
              <w:pStyle w:val="Table1"/>
              <w:ind w:right="33"/>
              <w:rPr>
                <w:rFonts w:ascii="Arial" w:hAnsi="Arial" w:cs="Arial"/>
                <w:b/>
                <w:color w:val="auto"/>
                <w:sz w:val="16"/>
              </w:rPr>
            </w:pPr>
            <w:r>
              <w:rPr>
                <w:rFonts w:ascii="Arial" w:hAnsi="Arial" w:cs="Arial"/>
                <w:b/>
                <w:color w:val="auto"/>
                <w:sz w:val="16"/>
              </w:rPr>
              <w:t>Y</w:t>
            </w:r>
            <w:r w:rsidRPr="00F63FD5">
              <w:rPr>
                <w:rFonts w:ascii="Arial" w:hAnsi="Arial" w:cs="Arial"/>
                <w:b/>
                <w:color w:val="auto"/>
                <w:sz w:val="16"/>
              </w:rPr>
              <w:t>en</w:t>
            </w:r>
            <w:r>
              <w:rPr>
                <w:rFonts w:ascii="Arial" w:hAnsi="Arial" w:cs="Arial"/>
                <w:b/>
                <w:color w:val="auto"/>
                <w:sz w:val="16"/>
              </w:rPr>
              <w:t>/AUD</w:t>
            </w:r>
          </w:p>
        </w:tc>
        <w:tc>
          <w:tcPr>
            <w:tcW w:w="850" w:type="dxa"/>
            <w:tcBorders>
              <w:top w:val="nil"/>
              <w:left w:val="nil"/>
              <w:bottom w:val="nil"/>
              <w:right w:val="nil"/>
            </w:tcBorders>
            <w:shd w:val="clear" w:color="auto" w:fill="FFFFFF" w:themeFill="background1"/>
            <w:vAlign w:val="center"/>
          </w:tcPr>
          <w:p w14:paraId="328616FF" w14:textId="77777777" w:rsidR="00B309E3" w:rsidRPr="00F63FD5" w:rsidRDefault="00B309E3" w:rsidP="00B309E3">
            <w:pPr>
              <w:pStyle w:val="Table1"/>
              <w:tabs>
                <w:tab w:val="left" w:pos="1026"/>
              </w:tabs>
              <w:ind w:right="-13"/>
              <w:jc w:val="center"/>
              <w:rPr>
                <w:rFonts w:ascii="Arial" w:hAnsi="Arial" w:cs="Arial"/>
                <w:color w:val="auto"/>
                <w:sz w:val="16"/>
              </w:rPr>
            </w:pPr>
            <w:r>
              <w:rPr>
                <w:rFonts w:ascii="Arial" w:hAnsi="Arial" w:cs="Arial"/>
                <w:color w:val="auto"/>
                <w:sz w:val="16"/>
              </w:rPr>
              <w:t>72.5</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5D2D0D33" w14:textId="77777777" w:rsidR="00B309E3" w:rsidRPr="00F63FD5"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-4.9</w:t>
            </w:r>
          </w:p>
        </w:tc>
        <w:tc>
          <w:tcPr>
            <w:tcW w:w="851" w:type="dxa"/>
            <w:tcBorders>
              <w:top w:val="nil"/>
              <w:left w:val="nil"/>
              <w:bottom w:val="nil"/>
              <w:right w:val="nil"/>
            </w:tcBorders>
            <w:shd w:val="clear" w:color="auto" w:fill="FFFFFF" w:themeFill="background1"/>
            <w:vAlign w:val="center"/>
          </w:tcPr>
          <w:p w14:paraId="24605231" w14:textId="77777777" w:rsidR="00B309E3" w:rsidRPr="00D93DD3"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-8.4</w:t>
            </w:r>
          </w:p>
        </w:tc>
      </w:tr>
      <w:tr w:rsidR="00B309E3" w:rsidRPr="00F63FD5" w14:paraId="310F87B9" w14:textId="77777777" w:rsidTr="00B309E3">
        <w:trPr>
          <w:trHeight w:val="292"/>
        </w:trPr>
        <w:tc>
          <w:tcPr>
            <w:tcW w:w="2376" w:type="dxa"/>
            <w:tcBorders>
              <w:top w:val="nil"/>
              <w:left w:val="nil"/>
              <w:bottom w:val="nil"/>
              <w:right w:val="nil"/>
            </w:tcBorders>
            <w:shd w:val="clear" w:color="auto" w:fill="D9E2F3"/>
            <w:vAlign w:val="center"/>
            <w:hideMark/>
          </w:tcPr>
          <w:p w14:paraId="49DA8089" w14:textId="77777777" w:rsidR="00B309E3" w:rsidRPr="00F63FD5" w:rsidRDefault="00B309E3" w:rsidP="00B309E3">
            <w:pPr>
              <w:pStyle w:val="Table1"/>
              <w:ind w:right="33"/>
              <w:rPr>
                <w:rFonts w:ascii="Arial" w:hAnsi="Arial" w:cs="Arial"/>
                <w:b/>
                <w:color w:val="auto"/>
                <w:sz w:val="16"/>
              </w:rPr>
            </w:pPr>
            <w:r w:rsidRPr="00F63FD5">
              <w:rPr>
                <w:rFonts w:ascii="Arial" w:hAnsi="Arial" w:cs="Arial"/>
                <w:b/>
                <w:color w:val="auto"/>
                <w:sz w:val="16"/>
              </w:rPr>
              <w:t>Trade weighted index</w:t>
            </w:r>
          </w:p>
        </w:tc>
        <w:tc>
          <w:tcPr>
            <w:tcW w:w="850" w:type="dxa"/>
            <w:tcBorders>
              <w:top w:val="nil"/>
              <w:left w:val="nil"/>
              <w:bottom w:val="nil"/>
              <w:right w:val="nil"/>
            </w:tcBorders>
            <w:shd w:val="clear" w:color="auto" w:fill="D9E2F3"/>
            <w:vAlign w:val="center"/>
          </w:tcPr>
          <w:p w14:paraId="5E81E906" w14:textId="77777777" w:rsidR="00B309E3" w:rsidRPr="00F63FD5" w:rsidRDefault="00B309E3" w:rsidP="00B309E3">
            <w:pPr>
              <w:pStyle w:val="Table1"/>
              <w:tabs>
                <w:tab w:val="left" w:pos="1026"/>
              </w:tabs>
              <w:ind w:right="-13"/>
              <w:jc w:val="center"/>
              <w:rPr>
                <w:rFonts w:ascii="Arial" w:hAnsi="Arial" w:cs="Arial"/>
                <w:color w:val="auto"/>
                <w:sz w:val="16"/>
              </w:rPr>
            </w:pPr>
            <w:r>
              <w:rPr>
                <w:rFonts w:ascii="Arial" w:hAnsi="Arial" w:cs="Arial"/>
                <w:color w:val="auto"/>
                <w:sz w:val="16"/>
              </w:rPr>
              <w:t>58.1</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14:paraId="38D5828B" w14:textId="77777777" w:rsidR="00B309E3" w:rsidRPr="00F63FD5"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-3.6</w:t>
            </w:r>
          </w:p>
        </w:tc>
        <w:tc>
          <w:tcPr>
            <w:tcW w:w="851" w:type="dxa"/>
            <w:tcBorders>
              <w:top w:val="nil"/>
              <w:left w:val="nil"/>
              <w:bottom w:val="nil"/>
              <w:right w:val="nil"/>
            </w:tcBorders>
            <w:shd w:val="clear" w:color="auto" w:fill="D9E2F3"/>
            <w:vAlign w:val="center"/>
          </w:tcPr>
          <w:p w14:paraId="71FDCF88" w14:textId="77777777" w:rsidR="00B309E3" w:rsidRPr="00D93DD3" w:rsidRDefault="00B309E3" w:rsidP="00B309E3">
            <w:pPr>
              <w:pStyle w:val="Table1"/>
              <w:tabs>
                <w:tab w:val="left" w:pos="823"/>
              </w:tabs>
              <w:ind w:right="114"/>
              <w:jc w:val="center"/>
              <w:rPr>
                <w:rFonts w:ascii="Arial" w:hAnsi="Arial" w:cs="Arial"/>
                <w:color w:val="auto"/>
                <w:sz w:val="16"/>
              </w:rPr>
            </w:pPr>
            <w:r>
              <w:rPr>
                <w:rFonts w:ascii="Arial" w:hAnsi="Arial" w:cs="Arial"/>
                <w:color w:val="auto"/>
                <w:sz w:val="16"/>
              </w:rPr>
              <w:t>-5.7</w:t>
            </w:r>
          </w:p>
        </w:tc>
      </w:tr>
      <w:tr w:rsidR="00B309E3" w:rsidRPr="00F63FD5" w14:paraId="7B2989A9" w14:textId="77777777" w:rsidTr="00B309E3">
        <w:trPr>
          <w:trHeight w:val="66"/>
        </w:trPr>
        <w:tc>
          <w:tcPr>
            <w:tcW w:w="4928" w:type="dxa"/>
            <w:gridSpan w:val="4"/>
            <w:tcBorders>
              <w:top w:val="nil"/>
              <w:left w:val="nil"/>
              <w:bottom w:val="nil"/>
              <w:right w:val="nil"/>
            </w:tcBorders>
          </w:tcPr>
          <w:p w14:paraId="3BD68CAA" w14:textId="77777777" w:rsidR="00B309E3" w:rsidRDefault="00B309E3" w:rsidP="00B309E3">
            <w:pPr>
              <w:pStyle w:val="NoSpacing"/>
              <w:rPr>
                <w:rFonts w:cs="Arial"/>
                <w:sz w:val="11"/>
                <w:szCs w:val="11"/>
              </w:rPr>
            </w:pPr>
            <w:r w:rsidRPr="00D93DD3">
              <w:rPr>
                <w:rFonts w:cs="Arial"/>
                <w:b/>
                <w:sz w:val="11"/>
                <w:szCs w:val="11"/>
              </w:rPr>
              <w:t>Source</w:t>
            </w:r>
            <w:r>
              <w:rPr>
                <w:rFonts w:cs="Arial"/>
                <w:b/>
                <w:sz w:val="11"/>
                <w:szCs w:val="11"/>
              </w:rPr>
              <w:t xml:space="preserve">: </w:t>
            </w:r>
            <w:r w:rsidRPr="00B309E3">
              <w:rPr>
                <w:rFonts w:cs="Arial"/>
                <w:sz w:val="11"/>
                <w:szCs w:val="11"/>
              </w:rPr>
              <w:t>Bloomberg &amp; IOOF, 31 January 2020. All foreign exchange rates are rounded to two decimal places where appropriate.</w:t>
            </w:r>
          </w:p>
          <w:p w14:paraId="30DF2209" w14:textId="77777777" w:rsidR="00B309E3" w:rsidRPr="00D93DD3" w:rsidRDefault="00B309E3" w:rsidP="00B309E3">
            <w:pPr>
              <w:pStyle w:val="NoSpacing"/>
              <w:rPr>
                <w:sz w:val="11"/>
                <w:szCs w:val="11"/>
              </w:rPr>
            </w:pPr>
            <w:r w:rsidRPr="00D93DD3">
              <w:rPr>
                <w:rFonts w:cs="Arial"/>
                <w:b/>
                <w:sz w:val="11"/>
                <w:szCs w:val="11"/>
              </w:rPr>
              <w:t>Please note</w:t>
            </w:r>
            <w:r w:rsidRPr="00D93DD3">
              <w:rPr>
                <w:rFonts w:cs="Arial"/>
                <w:sz w:val="11"/>
                <w:szCs w:val="11"/>
              </w:rPr>
              <w:t xml:space="preserve">: </w:t>
            </w:r>
            <w:r w:rsidRPr="00B309E3">
              <w:rPr>
                <w:rFonts w:cs="Arial"/>
                <w:sz w:val="11"/>
                <w:szCs w:val="11"/>
              </w:rPr>
              <w:t>Past performance is not indicative of future performance.</w:t>
            </w:r>
          </w:p>
        </w:tc>
      </w:tr>
      <w:tr w:rsidR="00B309E3" w:rsidRPr="00F63FD5" w14:paraId="3C4B3452" w14:textId="77777777" w:rsidTr="00B309E3">
        <w:trPr>
          <w:trHeight w:val="66"/>
        </w:trPr>
        <w:tc>
          <w:tcPr>
            <w:tcW w:w="4928" w:type="dxa"/>
            <w:gridSpan w:val="4"/>
            <w:tcBorders>
              <w:top w:val="nil"/>
              <w:left w:val="nil"/>
              <w:bottom w:val="nil"/>
              <w:right w:val="nil"/>
            </w:tcBorders>
          </w:tcPr>
          <w:p w14:paraId="100C2099" w14:textId="77777777" w:rsidR="00B309E3" w:rsidRPr="00D93DD3" w:rsidRDefault="00B309E3" w:rsidP="00B309E3">
            <w:pPr>
              <w:pStyle w:val="NoSpacing"/>
              <w:rPr>
                <w:rFonts w:cs="Arial"/>
                <w:b/>
                <w:sz w:val="11"/>
                <w:szCs w:val="11"/>
              </w:rPr>
            </w:pPr>
          </w:p>
        </w:tc>
      </w:tr>
    </w:tbl>
    <w:p w14:paraId="5B4D280A" w14:textId="7128F66C" w:rsidR="008A1CFD" w:rsidRDefault="008A1CFD" w:rsidP="008A1CFD">
      <w:pPr>
        <w:spacing w:after="120"/>
        <w:rPr>
          <w:rFonts w:ascii="Arial" w:hAnsi="Arial" w:cs="Arial"/>
          <w:b/>
          <w:color w:val="0084C1"/>
          <w:sz w:val="14"/>
          <w:highlight w:val="yellow"/>
        </w:rPr>
      </w:pPr>
      <w:bookmarkStart w:id="9" w:name="_Hlk529782802"/>
      <w:bookmarkEnd w:id="9"/>
      <w:bookmarkEnd w:id="7"/>
    </w:p>
    <w:bookmarkEnd w:id="8"/>
    <w:p w14:paraId="4B827037" w14:textId="6617C5DF" w:rsidR="00B309E3" w:rsidRDefault="00B309E3" w:rsidP="008A1CFD">
      <w:pPr>
        <w:spacing w:after="120"/>
        <w:rPr>
          <w:rFonts w:ascii="Arial" w:hAnsi="Arial" w:cs="Arial"/>
          <w:b/>
          <w:color w:val="0084C1"/>
          <w:sz w:val="14"/>
          <w:highlight w:val="yellow"/>
        </w:rPr>
      </w:pPr>
    </w:p>
    <w:p w14:paraId="390ED853" w14:textId="3149F0BA" w:rsidR="00B309E3" w:rsidRDefault="00B309E3" w:rsidP="008A1CFD">
      <w:pPr>
        <w:spacing w:after="120"/>
        <w:rPr>
          <w:rFonts w:ascii="Arial" w:hAnsi="Arial" w:cs="Arial"/>
          <w:b/>
          <w:color w:val="0084C1"/>
          <w:sz w:val="14"/>
          <w:highlight w:val="yellow"/>
        </w:rPr>
      </w:pPr>
    </w:p>
    <w:p w14:paraId="7CA4E80F" w14:textId="5D677525" w:rsidR="00353047" w:rsidRDefault="00353047" w:rsidP="008A1CFD">
      <w:pPr>
        <w:spacing w:after="120"/>
        <w:rPr>
          <w:rFonts w:ascii="Arial" w:hAnsi="Arial" w:cs="Arial"/>
          <w:b/>
          <w:color w:val="0084C1"/>
          <w:sz w:val="14"/>
          <w:highlight w:val="yellow"/>
        </w:rPr>
      </w:pPr>
    </w:p>
    <w:p w14:paraId="6505E348" w14:textId="2DED2F01" w:rsidR="00353047" w:rsidRDefault="00353047" w:rsidP="008A1CFD">
      <w:pPr>
        <w:spacing w:after="120"/>
        <w:rPr>
          <w:rFonts w:ascii="Arial" w:hAnsi="Arial" w:cs="Arial"/>
          <w:b/>
          <w:color w:val="0084C1"/>
          <w:sz w:val="14"/>
          <w:highlight w:val="yellow"/>
        </w:rPr>
      </w:pPr>
    </w:p>
    <w:p w14:paraId="7F30F7C6" w14:textId="149E72E6" w:rsidR="00353047" w:rsidRDefault="00353047" w:rsidP="008A1CFD">
      <w:pPr>
        <w:spacing w:after="120"/>
        <w:rPr>
          <w:rFonts w:ascii="Arial" w:hAnsi="Arial" w:cs="Arial"/>
          <w:b/>
          <w:color w:val="0084C1"/>
          <w:sz w:val="14"/>
          <w:highlight w:val="yellow"/>
        </w:rPr>
      </w:pPr>
    </w:p>
    <w:p w14:paraId="1DAAA0B9" w14:textId="77777777" w:rsidR="00353047" w:rsidRDefault="00353047" w:rsidP="008A1CFD">
      <w:pPr>
        <w:spacing w:after="120"/>
        <w:rPr>
          <w:rFonts w:ascii="Arial" w:hAnsi="Arial" w:cs="Arial"/>
          <w:b/>
          <w:color w:val="0084C1"/>
          <w:sz w:val="14"/>
          <w:highlight w:val="yellow"/>
        </w:rPr>
      </w:pPr>
    </w:p>
    <w:p w14:paraId="1D160D6F" w14:textId="720E0F8C" w:rsidR="00B309E3" w:rsidRDefault="00B309E3" w:rsidP="008A1CFD">
      <w:pPr>
        <w:spacing w:after="120"/>
        <w:rPr>
          <w:rFonts w:ascii="Arial" w:hAnsi="Arial" w:cs="Arial"/>
          <w:b/>
          <w:color w:val="0084C1"/>
          <w:sz w:val="14"/>
          <w:highlight w:val="yellow"/>
        </w:rPr>
      </w:pPr>
    </w:p>
    <w:p w14:paraId="5CB889D9" w14:textId="1AC038BB" w:rsidR="00B309E3" w:rsidRPr="008A1CFD" w:rsidRDefault="00B309E3" w:rsidP="008A1CFD">
      <w:pPr>
        <w:spacing w:after="120"/>
        <w:rPr>
          <w:rFonts w:ascii="Arial" w:hAnsi="Arial" w:cs="Arial"/>
          <w:b/>
          <w:color w:val="0084C1"/>
          <w:sz w:val="14"/>
          <w:highlight w:val="yellow"/>
        </w:rPr>
        <w:sectPr w:rsidR="00B309E3" w:rsidRPr="008A1CFD" w:rsidSect="00B309E3">
          <w:headerReference w:type="default" r:id="rId10"/>
          <w:type w:val="continuous"/>
          <w:pgSz w:w="11900" w:h="16840"/>
          <w:pgMar w:top="1440" w:right="843" w:bottom="1440" w:left="709" w:header="0" w:footer="0" w:gutter="0"/>
          <w:cols w:num="2" w:space="142"/>
          <w:docGrid w:linePitch="360"/>
        </w:sectPr>
      </w:pPr>
    </w:p>
    <w:p w14:paraId="5661633D" w14:textId="77777777" w:rsidR="00B309E3" w:rsidRPr="00B15816" w:rsidRDefault="00B309E3" w:rsidP="00B309E3">
      <w:pPr>
        <w:tabs>
          <w:tab w:val="left" w:pos="1612"/>
        </w:tabs>
        <w:rPr>
          <w:rFonts w:ascii="Verdana" w:hAnsi="Verdana"/>
          <w:sz w:val="14"/>
          <w:szCs w:val="14"/>
        </w:rPr>
      </w:pPr>
    </w:p>
    <w:sectPr w:rsidR="00B309E3" w:rsidRPr="00B15816" w:rsidSect="00B15816">
      <w:headerReference w:type="default" r:id="rId11"/>
      <w:type w:val="continuous"/>
      <w:pgSz w:w="11900" w:h="16840"/>
      <w:pgMar w:top="1440" w:right="560" w:bottom="568" w:left="709" w:header="0" w:footer="0" w:gutter="0"/>
      <w:cols w:space="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9202" w14:textId="77777777" w:rsidR="00CA2113" w:rsidRDefault="00CA2113" w:rsidP="001B56FD">
      <w:r>
        <w:separator/>
      </w:r>
    </w:p>
  </w:endnote>
  <w:endnote w:type="continuationSeparator" w:id="0">
    <w:p w14:paraId="2D1A1C97" w14:textId="77777777" w:rsidR="00CA2113" w:rsidRDefault="00CA2113" w:rsidP="001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EA65" w14:textId="77777777" w:rsidR="00E0365A" w:rsidRPr="00353047" w:rsidRDefault="00E0365A" w:rsidP="00E0365A">
    <w:pPr>
      <w:pStyle w:val="Default"/>
      <w:rPr>
        <w:rStyle w:val="Hyperlink"/>
        <w:color w:val="auto"/>
        <w:sz w:val="11"/>
        <w:szCs w:val="11"/>
      </w:rPr>
    </w:pPr>
    <w:r w:rsidRPr="00353047">
      <w:rPr>
        <w:sz w:val="11"/>
        <w:szCs w:val="11"/>
      </w:rPr>
      <w:t xml:space="preserve">Disclaimer: </w:t>
    </w:r>
    <w:r w:rsidRPr="00353047">
      <w:rPr>
        <w:color w:val="auto"/>
        <w:sz w:val="11"/>
        <w:szCs w:val="11"/>
      </w:rPr>
      <w:t xml:space="preserve">This report has been prepared by the IOOF Research team for </w:t>
    </w:r>
    <w:r w:rsidRPr="00353047">
      <w:rPr>
        <w:iCs/>
        <w:color w:val="333333"/>
        <w:sz w:val="11"/>
        <w:szCs w:val="11"/>
      </w:rPr>
      <w:t>Financial Services Partners Pty Ltd ABN 15 089 512 587 AFSL 237590</w:t>
    </w:r>
    <w:r w:rsidRPr="00353047">
      <w:rPr>
        <w:rStyle w:val="Emphasis"/>
        <w:color w:val="auto"/>
        <w:sz w:val="11"/>
        <w:szCs w:val="11"/>
      </w:rPr>
      <w:t xml:space="preserve">. </w:t>
    </w:r>
    <w:r w:rsidRPr="00353047">
      <w:rPr>
        <w:iCs/>
        <w:color w:val="333333"/>
        <w:sz w:val="11"/>
        <w:szCs w:val="11"/>
      </w:rPr>
      <w:t>Financial Services Partners Pty Ltd</w:t>
    </w:r>
    <w:r w:rsidRPr="00353047">
      <w:rPr>
        <w:color w:val="auto"/>
        <w:sz w:val="11"/>
        <w:szCs w:val="11"/>
      </w:rPr>
      <w:t xml:space="preserve"> is a company within the IOOF group of companies consisting of IOOF Holdings Limited ABN 49 100 103 722 and its related bodies corporate. This report is current as at the date of issue but may be superseded by future publications. The information in the report may not be reproduced, distributed or published by any recipient for any purpose without the prior written consent of </w:t>
    </w:r>
    <w:r w:rsidRPr="00353047">
      <w:rPr>
        <w:iCs/>
        <w:color w:val="333333"/>
        <w:sz w:val="11"/>
        <w:szCs w:val="11"/>
      </w:rPr>
      <w:t>Financial Services Partners Pty Ltd</w:t>
    </w:r>
    <w:r w:rsidRPr="00353047">
      <w:rPr>
        <w:color w:val="auto"/>
        <w:sz w:val="11"/>
        <w:szCs w:val="11"/>
      </w:rPr>
      <w:t xml:space="preserve">.  This report may be used on the express condition that you have obtained a copy of the </w:t>
    </w:r>
    <w:r w:rsidRPr="00353047">
      <w:rPr>
        <w:iCs/>
        <w:color w:val="333333"/>
        <w:sz w:val="11"/>
        <w:szCs w:val="11"/>
      </w:rPr>
      <w:t>Financial Services Partners Pty Ltd</w:t>
    </w:r>
    <w:r w:rsidRPr="00353047">
      <w:rPr>
        <w:color w:val="auto"/>
        <w:sz w:val="11"/>
        <w:szCs w:val="11"/>
      </w:rPr>
      <w:t xml:space="preserve"> Financial Services Guide (FSG) from the </w:t>
    </w:r>
    <w:hyperlink r:id="rId1" w:history="1">
      <w:r w:rsidRPr="00353047">
        <w:rPr>
          <w:rStyle w:val="Hyperlink"/>
          <w:sz w:val="11"/>
          <w:szCs w:val="11"/>
        </w:rPr>
        <w:t>website</w:t>
      </w:r>
    </w:hyperlink>
    <w:r w:rsidRPr="00353047">
      <w:rPr>
        <w:color w:val="auto"/>
        <w:sz w:val="11"/>
        <w:szCs w:val="11"/>
      </w:rPr>
      <w:t xml:space="preserve">. </w:t>
    </w:r>
    <w:r w:rsidRPr="00353047">
      <w:rPr>
        <w:iCs/>
        <w:color w:val="333333"/>
        <w:sz w:val="11"/>
        <w:szCs w:val="11"/>
      </w:rPr>
      <w:t>Financial Services Partners Pty Ltd</w:t>
    </w:r>
    <w:r w:rsidRPr="00353047">
      <w:rPr>
        <w:color w:val="auto"/>
        <w:sz w:val="11"/>
        <w:szCs w:val="11"/>
      </w:rPr>
      <w:t xml:space="preserve"> and/or its associated entities, directors and/or its employees may have a material interest in, and may earn brokerage from, any securities or other financial products referred to in this report, or may provide services to the companies referred to in this report. This report is not available for distribution outside Australia and may not be passed on to any third person without the prior written consent of </w:t>
    </w:r>
    <w:r w:rsidRPr="00353047">
      <w:rPr>
        <w:iCs/>
        <w:color w:val="333333"/>
        <w:sz w:val="11"/>
        <w:szCs w:val="11"/>
      </w:rPr>
      <w:t>Financial Services Partners Pty Ltd</w:t>
    </w:r>
    <w:r w:rsidRPr="00353047">
      <w:rPr>
        <w:color w:val="auto"/>
        <w:sz w:val="11"/>
        <w:szCs w:val="11"/>
      </w:rPr>
      <w:t xml:space="preserve">. </w:t>
    </w:r>
    <w:r w:rsidRPr="00353047">
      <w:rPr>
        <w:iCs/>
        <w:color w:val="333333"/>
        <w:sz w:val="11"/>
        <w:szCs w:val="11"/>
      </w:rPr>
      <w:t>Financial Services Partners Pty Ltd</w:t>
    </w:r>
    <w:r w:rsidRPr="00353047">
      <w:rPr>
        <w:color w:val="auto"/>
        <w:sz w:val="11"/>
        <w:szCs w:val="11"/>
      </w:rPr>
      <w:t xml:space="preserve"> and associated persons (including persons from whom information in this report is sourced) may do business or seek to do business with companies covered in its research reports. As a result, investors should be aware that the firms or other such persons may have a conflict of interest that could affect the objectivity of this report. Investors should consider this report as a single factor in making an investment decision. This report has been prepared in good faith and with reasonable care. Neither </w:t>
    </w:r>
    <w:r w:rsidRPr="00353047">
      <w:rPr>
        <w:iCs/>
        <w:color w:val="333333"/>
        <w:sz w:val="11"/>
        <w:szCs w:val="11"/>
      </w:rPr>
      <w:t>Financial Services Partners Pty Ltd</w:t>
    </w:r>
    <w:r w:rsidRPr="00353047">
      <w:rPr>
        <w:color w:val="auto"/>
        <w:sz w:val="11"/>
        <w:szCs w:val="11"/>
      </w:rPr>
      <w:t xml:space="preserve"> nor any other person makes any representation or warranty, express or implied, as to the accuracy, reliability, reasonableness or completeness of the contents of this document (including any projections, forecasts, estimates, prospects and returns and any omissions from this document). To the maximum extent permitted by law </w:t>
    </w:r>
    <w:r w:rsidRPr="00353047">
      <w:rPr>
        <w:iCs/>
        <w:color w:val="333333"/>
        <w:sz w:val="11"/>
        <w:szCs w:val="11"/>
      </w:rPr>
      <w:t>Financial Services Partners Pty Ltd</w:t>
    </w:r>
    <w:r w:rsidRPr="00353047">
      <w:rPr>
        <w:color w:val="auto"/>
        <w:sz w:val="11"/>
        <w:szCs w:val="11"/>
      </w:rPr>
      <w:t xml:space="preserve">, its related bodies corporate and their respective officers, employees, representatives and associates disclaim and exclude all liability for any loss or damage (whether foreseeable or not foreseeable) suffered or incurred  by any person acting on any information (including any projections, forecasts, estimates, prospects and returns) provided in, or omitted from this report. </w:t>
    </w:r>
    <w:r w:rsidRPr="00353047">
      <w:rPr>
        <w:b/>
        <w:bCs/>
        <w:color w:val="auto"/>
        <w:sz w:val="11"/>
        <w:szCs w:val="11"/>
      </w:rPr>
      <w:t xml:space="preserve">General Advice Disclaimer: </w:t>
    </w:r>
    <w:r w:rsidRPr="00353047">
      <w:rPr>
        <w:color w:val="auto"/>
        <w:sz w:val="11"/>
        <w:szCs w:val="11"/>
      </w:rPr>
      <w:t xml:space="preserve">The information in this report is general advice only and does not </w:t>
    </w:r>
    <w:proofErr w:type="gramStart"/>
    <w:r w:rsidRPr="00353047">
      <w:rPr>
        <w:color w:val="auto"/>
        <w:sz w:val="11"/>
        <w:szCs w:val="11"/>
      </w:rPr>
      <w:t>take into account</w:t>
    </w:r>
    <w:proofErr w:type="gramEnd"/>
    <w:r w:rsidRPr="00353047">
      <w:rPr>
        <w:color w:val="auto"/>
        <w:sz w:val="11"/>
        <w:szCs w:val="11"/>
      </w:rPr>
      <w:t xml:space="preserve"> your financial circumstances, needs and objectives. Before making any decision based on this report, you should assess your own circumstances or seek advice from a financial adviser. Where applicable, you should obtain and consider a copy of the Product Disclosure Statement, prospectus or other disclosure material relevant to the financial product before you acquire a financial product. It is important to note that investments may go up and down and past performance is not an indicator of future performance. For information regarding any potential conflicts of interest and analyst holdings; IOOF Research Team’s coverage criteria, methodology and spread of ratings; and summary information about the qualifications and experience of the IOOF Research Team please visit </w:t>
    </w:r>
    <w:hyperlink r:id="rId2" w:history="1">
      <w:r w:rsidRPr="00353047">
        <w:rPr>
          <w:rStyle w:val="Hyperlink"/>
          <w:color w:val="auto"/>
          <w:sz w:val="11"/>
          <w:szCs w:val="11"/>
        </w:rPr>
        <w:t>https://www.ioof.com.au/adviser/investment_funds/ioof_advice_research_process</w:t>
      </w:r>
    </w:hyperlink>
    <w:r w:rsidRPr="00353047">
      <w:rPr>
        <w:rStyle w:val="Hyperlink"/>
        <w:color w:val="auto"/>
        <w:sz w:val="11"/>
        <w:szCs w:val="1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45A3" w14:textId="77777777" w:rsidR="00CA2113" w:rsidRDefault="00CA2113" w:rsidP="001B56FD">
      <w:r>
        <w:separator/>
      </w:r>
    </w:p>
  </w:footnote>
  <w:footnote w:type="continuationSeparator" w:id="0">
    <w:p w14:paraId="1A12D85C" w14:textId="77777777" w:rsidR="00CA2113" w:rsidRDefault="00CA2113" w:rsidP="001B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EB65" w14:textId="77777777" w:rsidR="008A1CFD" w:rsidRDefault="008A1CFD" w:rsidP="001B56FD">
    <w:pPr>
      <w:pStyle w:val="Header"/>
      <w:tabs>
        <w:tab w:val="clear" w:pos="8640"/>
        <w:tab w:val="right" w:pos="10065"/>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E9DA" w14:textId="77777777" w:rsidR="00057F04" w:rsidRDefault="000A64EA" w:rsidP="001B56FD">
    <w:pPr>
      <w:pStyle w:val="Header"/>
      <w:tabs>
        <w:tab w:val="clear" w:pos="8640"/>
        <w:tab w:val="right" w:pos="10065"/>
      </w:tabs>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77E"/>
    <w:multiLevelType w:val="hybridMultilevel"/>
    <w:tmpl w:val="CF78A432"/>
    <w:lvl w:ilvl="0" w:tplc="987416B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98049D"/>
    <w:multiLevelType w:val="hybridMultilevel"/>
    <w:tmpl w:val="1380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56DBC"/>
    <w:multiLevelType w:val="hybridMultilevel"/>
    <w:tmpl w:val="1B9E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C5BF6"/>
    <w:multiLevelType w:val="hybridMultilevel"/>
    <w:tmpl w:val="8DB8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A2828"/>
    <w:multiLevelType w:val="hybridMultilevel"/>
    <w:tmpl w:val="9EFA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906E6"/>
    <w:multiLevelType w:val="hybridMultilevel"/>
    <w:tmpl w:val="CB3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237B4"/>
    <w:multiLevelType w:val="hybridMultilevel"/>
    <w:tmpl w:val="7F02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D248C"/>
    <w:multiLevelType w:val="hybridMultilevel"/>
    <w:tmpl w:val="554A6118"/>
    <w:lvl w:ilvl="0" w:tplc="73E222F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9975D3"/>
    <w:multiLevelType w:val="hybridMultilevel"/>
    <w:tmpl w:val="761CAFA6"/>
    <w:lvl w:ilvl="0" w:tplc="6BFAE608">
      <w:numFmt w:val="bullet"/>
      <w:lvlText w:val=""/>
      <w:lvlJc w:val="left"/>
      <w:pPr>
        <w:ind w:left="-6480" w:hanging="360"/>
      </w:pPr>
      <w:rPr>
        <w:rFonts w:ascii="Symbol" w:eastAsiaTheme="minorHAnsi" w:hAnsi="Symbol"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1440" w:hanging="360"/>
      </w:pPr>
      <w:rPr>
        <w:rFonts w:ascii="Courier New" w:hAnsi="Courier New" w:cs="Courier New" w:hint="default"/>
      </w:rPr>
    </w:lvl>
    <w:lvl w:ilvl="8" w:tplc="0C090005" w:tentative="1">
      <w:start w:val="1"/>
      <w:numFmt w:val="bullet"/>
      <w:lvlText w:val=""/>
      <w:lvlJc w:val="left"/>
      <w:pPr>
        <w:ind w:left="-720" w:hanging="360"/>
      </w:pPr>
      <w:rPr>
        <w:rFonts w:ascii="Wingdings" w:hAnsi="Wingdings" w:hint="default"/>
      </w:rPr>
    </w:lvl>
  </w:abstractNum>
  <w:abstractNum w:abstractNumId="9" w15:restartNumberingAfterBreak="0">
    <w:nsid w:val="2D3052F3"/>
    <w:multiLevelType w:val="hybridMultilevel"/>
    <w:tmpl w:val="D2ACC7C8"/>
    <w:lvl w:ilvl="0" w:tplc="6BFAE60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DA6CA7"/>
    <w:multiLevelType w:val="hybridMultilevel"/>
    <w:tmpl w:val="E8664536"/>
    <w:lvl w:ilvl="0" w:tplc="B35EB3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5E1687"/>
    <w:multiLevelType w:val="hybridMultilevel"/>
    <w:tmpl w:val="FA146A7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2" w15:restartNumberingAfterBreak="0">
    <w:nsid w:val="3DC20AD1"/>
    <w:multiLevelType w:val="hybridMultilevel"/>
    <w:tmpl w:val="2AA66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F309D8"/>
    <w:multiLevelType w:val="hybridMultilevel"/>
    <w:tmpl w:val="26CE226C"/>
    <w:lvl w:ilvl="0" w:tplc="4B3CD5AE">
      <w:numFmt w:val="bullet"/>
      <w:lvlText w:val="-"/>
      <w:lvlJc w:val="left"/>
      <w:pPr>
        <w:ind w:left="720" w:hanging="360"/>
      </w:pPr>
      <w:rPr>
        <w:rFonts w:ascii="Verdana" w:eastAsiaTheme="minorEastAsi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33401"/>
    <w:multiLevelType w:val="hybridMultilevel"/>
    <w:tmpl w:val="5AAE4CCC"/>
    <w:lvl w:ilvl="0" w:tplc="8CC2936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BDF33F6"/>
    <w:multiLevelType w:val="hybridMultilevel"/>
    <w:tmpl w:val="C5C469A8"/>
    <w:lvl w:ilvl="0" w:tplc="E1EE004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D976AD"/>
    <w:multiLevelType w:val="hybridMultilevel"/>
    <w:tmpl w:val="090C93C4"/>
    <w:lvl w:ilvl="0" w:tplc="322870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744137"/>
    <w:multiLevelType w:val="hybridMultilevel"/>
    <w:tmpl w:val="27426D3E"/>
    <w:lvl w:ilvl="0" w:tplc="6BFAE608">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F04A2"/>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9" w15:restartNumberingAfterBreak="0">
    <w:nsid w:val="657B71F3"/>
    <w:multiLevelType w:val="hybridMultilevel"/>
    <w:tmpl w:val="7B54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02C3A"/>
    <w:multiLevelType w:val="hybridMultilevel"/>
    <w:tmpl w:val="C3FA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A381B"/>
    <w:multiLevelType w:val="hybridMultilevel"/>
    <w:tmpl w:val="46DA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881A2F"/>
    <w:multiLevelType w:val="hybridMultilevel"/>
    <w:tmpl w:val="907ECB90"/>
    <w:lvl w:ilvl="0" w:tplc="FC68ED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D76F57"/>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77461646"/>
    <w:multiLevelType w:val="hybridMultilevel"/>
    <w:tmpl w:val="4C908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202B68"/>
    <w:multiLevelType w:val="hybridMultilevel"/>
    <w:tmpl w:val="F4DA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DE4F62"/>
    <w:multiLevelType w:val="hybridMultilevel"/>
    <w:tmpl w:val="24B0E8B0"/>
    <w:lvl w:ilvl="0" w:tplc="A4B8A6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3"/>
  </w:num>
  <w:num w:numId="4">
    <w:abstractNumId w:val="18"/>
  </w:num>
  <w:num w:numId="5">
    <w:abstractNumId w:val="7"/>
  </w:num>
  <w:num w:numId="6">
    <w:abstractNumId w:val="14"/>
  </w:num>
  <w:num w:numId="7">
    <w:abstractNumId w:val="22"/>
  </w:num>
  <w:num w:numId="8">
    <w:abstractNumId w:val="15"/>
  </w:num>
  <w:num w:numId="9">
    <w:abstractNumId w:val="10"/>
  </w:num>
  <w:num w:numId="10">
    <w:abstractNumId w:val="16"/>
  </w:num>
  <w:num w:numId="11">
    <w:abstractNumId w:val="0"/>
  </w:num>
  <w:num w:numId="12">
    <w:abstractNumId w:val="12"/>
  </w:num>
  <w:num w:numId="13">
    <w:abstractNumId w:val="13"/>
  </w:num>
  <w:num w:numId="14">
    <w:abstractNumId w:val="24"/>
  </w:num>
  <w:num w:numId="15">
    <w:abstractNumId w:val="20"/>
  </w:num>
  <w:num w:numId="16">
    <w:abstractNumId w:val="6"/>
  </w:num>
  <w:num w:numId="17">
    <w:abstractNumId w:val="24"/>
  </w:num>
  <w:num w:numId="18">
    <w:abstractNumId w:val="5"/>
  </w:num>
  <w:num w:numId="19">
    <w:abstractNumId w:val="21"/>
  </w:num>
  <w:num w:numId="20">
    <w:abstractNumId w:val="25"/>
  </w:num>
  <w:num w:numId="21">
    <w:abstractNumId w:val="24"/>
  </w:num>
  <w:num w:numId="22">
    <w:abstractNumId w:val="4"/>
  </w:num>
  <w:num w:numId="23">
    <w:abstractNumId w:val="1"/>
  </w:num>
  <w:num w:numId="24">
    <w:abstractNumId w:val="19"/>
  </w:num>
  <w:num w:numId="25">
    <w:abstractNumId w:val="2"/>
  </w:num>
  <w:num w:numId="26">
    <w:abstractNumId w:val="26"/>
  </w:num>
  <w:num w:numId="27">
    <w:abstractNumId w:val="8"/>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B56FD"/>
    <w:rsid w:val="000035F8"/>
    <w:rsid w:val="00005A70"/>
    <w:rsid w:val="0001040C"/>
    <w:rsid w:val="0001056D"/>
    <w:rsid w:val="0001553B"/>
    <w:rsid w:val="00021BC9"/>
    <w:rsid w:val="00024991"/>
    <w:rsid w:val="000249FA"/>
    <w:rsid w:val="000315FD"/>
    <w:rsid w:val="00031A71"/>
    <w:rsid w:val="00037228"/>
    <w:rsid w:val="00037BFD"/>
    <w:rsid w:val="000416DA"/>
    <w:rsid w:val="00042349"/>
    <w:rsid w:val="00042583"/>
    <w:rsid w:val="000436E6"/>
    <w:rsid w:val="00044020"/>
    <w:rsid w:val="00045F89"/>
    <w:rsid w:val="00046883"/>
    <w:rsid w:val="00053071"/>
    <w:rsid w:val="00054390"/>
    <w:rsid w:val="000544CB"/>
    <w:rsid w:val="00057392"/>
    <w:rsid w:val="00063463"/>
    <w:rsid w:val="00064E57"/>
    <w:rsid w:val="0007419E"/>
    <w:rsid w:val="0008203C"/>
    <w:rsid w:val="00085A98"/>
    <w:rsid w:val="0009205B"/>
    <w:rsid w:val="000A212F"/>
    <w:rsid w:val="000A64EA"/>
    <w:rsid w:val="000A6E67"/>
    <w:rsid w:val="000A75BF"/>
    <w:rsid w:val="000B118E"/>
    <w:rsid w:val="000B167B"/>
    <w:rsid w:val="000B3CBB"/>
    <w:rsid w:val="000C2400"/>
    <w:rsid w:val="000C4643"/>
    <w:rsid w:val="000D3C9B"/>
    <w:rsid w:val="000D7D9E"/>
    <w:rsid w:val="000E0C0A"/>
    <w:rsid w:val="000E3C01"/>
    <w:rsid w:val="000E3D13"/>
    <w:rsid w:val="000E5A9A"/>
    <w:rsid w:val="000E7CAC"/>
    <w:rsid w:val="000F0138"/>
    <w:rsid w:val="000F1938"/>
    <w:rsid w:val="000F483A"/>
    <w:rsid w:val="000F4C09"/>
    <w:rsid w:val="001056A2"/>
    <w:rsid w:val="00116305"/>
    <w:rsid w:val="001216D4"/>
    <w:rsid w:val="00122498"/>
    <w:rsid w:val="0012640C"/>
    <w:rsid w:val="00133A12"/>
    <w:rsid w:val="00134AF0"/>
    <w:rsid w:val="00140C0B"/>
    <w:rsid w:val="001415FF"/>
    <w:rsid w:val="00141FDD"/>
    <w:rsid w:val="0014291D"/>
    <w:rsid w:val="00143D0C"/>
    <w:rsid w:val="00144950"/>
    <w:rsid w:val="001532FC"/>
    <w:rsid w:val="00153F07"/>
    <w:rsid w:val="00154083"/>
    <w:rsid w:val="00164C0A"/>
    <w:rsid w:val="00170F7B"/>
    <w:rsid w:val="0017535B"/>
    <w:rsid w:val="001817C7"/>
    <w:rsid w:val="0018382E"/>
    <w:rsid w:val="00185C4E"/>
    <w:rsid w:val="00194A4C"/>
    <w:rsid w:val="001A3B50"/>
    <w:rsid w:val="001B1FAF"/>
    <w:rsid w:val="001B56FD"/>
    <w:rsid w:val="001C38A2"/>
    <w:rsid w:val="001C4785"/>
    <w:rsid w:val="001C4FE9"/>
    <w:rsid w:val="001C6FCB"/>
    <w:rsid w:val="001C7973"/>
    <w:rsid w:val="001D17C0"/>
    <w:rsid w:val="001D53E2"/>
    <w:rsid w:val="001D6197"/>
    <w:rsid w:val="001D76EA"/>
    <w:rsid w:val="001E2275"/>
    <w:rsid w:val="001E5838"/>
    <w:rsid w:val="001F1547"/>
    <w:rsid w:val="001F61F4"/>
    <w:rsid w:val="002021A6"/>
    <w:rsid w:val="0020642D"/>
    <w:rsid w:val="002071A2"/>
    <w:rsid w:val="00207AE4"/>
    <w:rsid w:val="00214B41"/>
    <w:rsid w:val="00217DB8"/>
    <w:rsid w:val="00221553"/>
    <w:rsid w:val="00222850"/>
    <w:rsid w:val="00223BD5"/>
    <w:rsid w:val="002318EA"/>
    <w:rsid w:val="0023606A"/>
    <w:rsid w:val="00236799"/>
    <w:rsid w:val="002408A3"/>
    <w:rsid w:val="00242A29"/>
    <w:rsid w:val="002432B1"/>
    <w:rsid w:val="002434DB"/>
    <w:rsid w:val="0024360A"/>
    <w:rsid w:val="00243C01"/>
    <w:rsid w:val="00243DEE"/>
    <w:rsid w:val="0024409A"/>
    <w:rsid w:val="00246323"/>
    <w:rsid w:val="002515FE"/>
    <w:rsid w:val="0025251D"/>
    <w:rsid w:val="002636D5"/>
    <w:rsid w:val="00275CB1"/>
    <w:rsid w:val="00277F87"/>
    <w:rsid w:val="002857FC"/>
    <w:rsid w:val="002901CB"/>
    <w:rsid w:val="002926B0"/>
    <w:rsid w:val="00297018"/>
    <w:rsid w:val="002A3462"/>
    <w:rsid w:val="002A3816"/>
    <w:rsid w:val="002B0F9A"/>
    <w:rsid w:val="002B1CD7"/>
    <w:rsid w:val="002B1E66"/>
    <w:rsid w:val="002B33E6"/>
    <w:rsid w:val="002B3DF0"/>
    <w:rsid w:val="002B58D0"/>
    <w:rsid w:val="002B7F4B"/>
    <w:rsid w:val="002C078D"/>
    <w:rsid w:val="002C13AC"/>
    <w:rsid w:val="002C5E49"/>
    <w:rsid w:val="002D05BE"/>
    <w:rsid w:val="002D1E86"/>
    <w:rsid w:val="002D2118"/>
    <w:rsid w:val="002D297E"/>
    <w:rsid w:val="002D3121"/>
    <w:rsid w:val="002D7FBF"/>
    <w:rsid w:val="002E0AB5"/>
    <w:rsid w:val="002E7A9C"/>
    <w:rsid w:val="002F1C67"/>
    <w:rsid w:val="002F2B0A"/>
    <w:rsid w:val="002F652D"/>
    <w:rsid w:val="0030031C"/>
    <w:rsid w:val="003030EB"/>
    <w:rsid w:val="00303EAF"/>
    <w:rsid w:val="0031182C"/>
    <w:rsid w:val="00325144"/>
    <w:rsid w:val="0032618E"/>
    <w:rsid w:val="0032684C"/>
    <w:rsid w:val="003310F2"/>
    <w:rsid w:val="00332FC5"/>
    <w:rsid w:val="003444C0"/>
    <w:rsid w:val="00344DA9"/>
    <w:rsid w:val="00344F33"/>
    <w:rsid w:val="0035118D"/>
    <w:rsid w:val="0035257A"/>
    <w:rsid w:val="00353047"/>
    <w:rsid w:val="00354029"/>
    <w:rsid w:val="00354209"/>
    <w:rsid w:val="00354F27"/>
    <w:rsid w:val="00355494"/>
    <w:rsid w:val="0036030C"/>
    <w:rsid w:val="00363072"/>
    <w:rsid w:val="003630D9"/>
    <w:rsid w:val="00363169"/>
    <w:rsid w:val="0036435B"/>
    <w:rsid w:val="00364572"/>
    <w:rsid w:val="00365895"/>
    <w:rsid w:val="0036719B"/>
    <w:rsid w:val="0037025D"/>
    <w:rsid w:val="00373AF6"/>
    <w:rsid w:val="00373BA7"/>
    <w:rsid w:val="003743D7"/>
    <w:rsid w:val="00374446"/>
    <w:rsid w:val="00375423"/>
    <w:rsid w:val="003848AC"/>
    <w:rsid w:val="003877E1"/>
    <w:rsid w:val="003931BB"/>
    <w:rsid w:val="00395965"/>
    <w:rsid w:val="00396D4B"/>
    <w:rsid w:val="003A01B6"/>
    <w:rsid w:val="003A6511"/>
    <w:rsid w:val="003B14EC"/>
    <w:rsid w:val="003B51AC"/>
    <w:rsid w:val="003B67B3"/>
    <w:rsid w:val="003C20F7"/>
    <w:rsid w:val="003C29EC"/>
    <w:rsid w:val="003C31FA"/>
    <w:rsid w:val="003C4D1D"/>
    <w:rsid w:val="003C5144"/>
    <w:rsid w:val="003E1855"/>
    <w:rsid w:val="003E2807"/>
    <w:rsid w:val="003E2D06"/>
    <w:rsid w:val="003E388A"/>
    <w:rsid w:val="003E78A5"/>
    <w:rsid w:val="003F133A"/>
    <w:rsid w:val="003F33C0"/>
    <w:rsid w:val="003F35BE"/>
    <w:rsid w:val="003F5E1A"/>
    <w:rsid w:val="00400BA8"/>
    <w:rsid w:val="00401A38"/>
    <w:rsid w:val="00403407"/>
    <w:rsid w:val="00404022"/>
    <w:rsid w:val="00405CBB"/>
    <w:rsid w:val="00406D99"/>
    <w:rsid w:val="00406EBE"/>
    <w:rsid w:val="004172F7"/>
    <w:rsid w:val="00420274"/>
    <w:rsid w:val="00420F5E"/>
    <w:rsid w:val="004269A1"/>
    <w:rsid w:val="00427DAA"/>
    <w:rsid w:val="0043131E"/>
    <w:rsid w:val="00434B07"/>
    <w:rsid w:val="004351C2"/>
    <w:rsid w:val="0043566C"/>
    <w:rsid w:val="00435D37"/>
    <w:rsid w:val="0044674B"/>
    <w:rsid w:val="00455288"/>
    <w:rsid w:val="00461605"/>
    <w:rsid w:val="00462198"/>
    <w:rsid w:val="00466E6F"/>
    <w:rsid w:val="004726F2"/>
    <w:rsid w:val="00477E7A"/>
    <w:rsid w:val="00485707"/>
    <w:rsid w:val="004859EC"/>
    <w:rsid w:val="00486C76"/>
    <w:rsid w:val="00487E1A"/>
    <w:rsid w:val="0049476E"/>
    <w:rsid w:val="00494C02"/>
    <w:rsid w:val="00496757"/>
    <w:rsid w:val="00497941"/>
    <w:rsid w:val="004A5A02"/>
    <w:rsid w:val="004B1406"/>
    <w:rsid w:val="004B5B39"/>
    <w:rsid w:val="004B5DF1"/>
    <w:rsid w:val="004B696D"/>
    <w:rsid w:val="004C02EF"/>
    <w:rsid w:val="004C78C0"/>
    <w:rsid w:val="004D22E2"/>
    <w:rsid w:val="004D3599"/>
    <w:rsid w:val="004D3B17"/>
    <w:rsid w:val="004E082F"/>
    <w:rsid w:val="004E2222"/>
    <w:rsid w:val="004E482B"/>
    <w:rsid w:val="004E7B17"/>
    <w:rsid w:val="004F1630"/>
    <w:rsid w:val="004F596D"/>
    <w:rsid w:val="004F6BFA"/>
    <w:rsid w:val="00502AC7"/>
    <w:rsid w:val="005172BA"/>
    <w:rsid w:val="0052249A"/>
    <w:rsid w:val="005224DE"/>
    <w:rsid w:val="00523164"/>
    <w:rsid w:val="0053533D"/>
    <w:rsid w:val="00541FC5"/>
    <w:rsid w:val="00542097"/>
    <w:rsid w:val="00542AEA"/>
    <w:rsid w:val="00545867"/>
    <w:rsid w:val="0055572C"/>
    <w:rsid w:val="00555FE6"/>
    <w:rsid w:val="00560DAA"/>
    <w:rsid w:val="005619CD"/>
    <w:rsid w:val="00567152"/>
    <w:rsid w:val="00570340"/>
    <w:rsid w:val="00573863"/>
    <w:rsid w:val="00585108"/>
    <w:rsid w:val="00585D6B"/>
    <w:rsid w:val="005913F6"/>
    <w:rsid w:val="0059182C"/>
    <w:rsid w:val="00591BD6"/>
    <w:rsid w:val="00594437"/>
    <w:rsid w:val="0059464A"/>
    <w:rsid w:val="005973DD"/>
    <w:rsid w:val="005A22A9"/>
    <w:rsid w:val="005A38B5"/>
    <w:rsid w:val="005A54AD"/>
    <w:rsid w:val="005A6410"/>
    <w:rsid w:val="005B19D8"/>
    <w:rsid w:val="005B46E7"/>
    <w:rsid w:val="005B5D1B"/>
    <w:rsid w:val="005B6AD6"/>
    <w:rsid w:val="005C11CB"/>
    <w:rsid w:val="005C4B5B"/>
    <w:rsid w:val="005D14FC"/>
    <w:rsid w:val="005D1C10"/>
    <w:rsid w:val="005D1F0E"/>
    <w:rsid w:val="005D5BE2"/>
    <w:rsid w:val="005D5E03"/>
    <w:rsid w:val="005D7300"/>
    <w:rsid w:val="005E5822"/>
    <w:rsid w:val="005E5AAC"/>
    <w:rsid w:val="005E7E52"/>
    <w:rsid w:val="005F109C"/>
    <w:rsid w:val="00600420"/>
    <w:rsid w:val="00606C3E"/>
    <w:rsid w:val="00610C03"/>
    <w:rsid w:val="00610D2D"/>
    <w:rsid w:val="006161BD"/>
    <w:rsid w:val="00617C70"/>
    <w:rsid w:val="00624A31"/>
    <w:rsid w:val="006256A6"/>
    <w:rsid w:val="00630611"/>
    <w:rsid w:val="00632C99"/>
    <w:rsid w:val="00634A69"/>
    <w:rsid w:val="00635159"/>
    <w:rsid w:val="0063727D"/>
    <w:rsid w:val="006372DC"/>
    <w:rsid w:val="006411FB"/>
    <w:rsid w:val="0064159C"/>
    <w:rsid w:val="006429F1"/>
    <w:rsid w:val="00642A59"/>
    <w:rsid w:val="00652888"/>
    <w:rsid w:val="00665921"/>
    <w:rsid w:val="0066674E"/>
    <w:rsid w:val="00672114"/>
    <w:rsid w:val="0067587C"/>
    <w:rsid w:val="006768E1"/>
    <w:rsid w:val="00681E0B"/>
    <w:rsid w:val="00696C4B"/>
    <w:rsid w:val="006A0962"/>
    <w:rsid w:val="006A1526"/>
    <w:rsid w:val="006B23D0"/>
    <w:rsid w:val="006B28D4"/>
    <w:rsid w:val="006C63C3"/>
    <w:rsid w:val="006C70BC"/>
    <w:rsid w:val="006C7F5F"/>
    <w:rsid w:val="006D0A0F"/>
    <w:rsid w:val="006D27D9"/>
    <w:rsid w:val="006D405A"/>
    <w:rsid w:val="006D73DB"/>
    <w:rsid w:val="006E164D"/>
    <w:rsid w:val="006E3230"/>
    <w:rsid w:val="006E3F95"/>
    <w:rsid w:val="006F1EDC"/>
    <w:rsid w:val="006F39C4"/>
    <w:rsid w:val="006F603B"/>
    <w:rsid w:val="006F6DCB"/>
    <w:rsid w:val="007014F8"/>
    <w:rsid w:val="00711F86"/>
    <w:rsid w:val="00713EB5"/>
    <w:rsid w:val="0071516D"/>
    <w:rsid w:val="00723DE2"/>
    <w:rsid w:val="007264B6"/>
    <w:rsid w:val="00726B1B"/>
    <w:rsid w:val="00730EA3"/>
    <w:rsid w:val="00735B13"/>
    <w:rsid w:val="0074098B"/>
    <w:rsid w:val="00741B67"/>
    <w:rsid w:val="00743C36"/>
    <w:rsid w:val="0074476A"/>
    <w:rsid w:val="00747FFC"/>
    <w:rsid w:val="0075046E"/>
    <w:rsid w:val="00751217"/>
    <w:rsid w:val="00754565"/>
    <w:rsid w:val="00760326"/>
    <w:rsid w:val="007621CF"/>
    <w:rsid w:val="00765A89"/>
    <w:rsid w:val="00770C03"/>
    <w:rsid w:val="00771A33"/>
    <w:rsid w:val="007726AB"/>
    <w:rsid w:val="00775884"/>
    <w:rsid w:val="00782771"/>
    <w:rsid w:val="00783594"/>
    <w:rsid w:val="0078536C"/>
    <w:rsid w:val="00790038"/>
    <w:rsid w:val="00793AF1"/>
    <w:rsid w:val="007955BB"/>
    <w:rsid w:val="00796DF1"/>
    <w:rsid w:val="007A073F"/>
    <w:rsid w:val="007A2C5C"/>
    <w:rsid w:val="007B097A"/>
    <w:rsid w:val="007B1A98"/>
    <w:rsid w:val="007B36A9"/>
    <w:rsid w:val="007B4481"/>
    <w:rsid w:val="007D11F8"/>
    <w:rsid w:val="007D4D38"/>
    <w:rsid w:val="007D7618"/>
    <w:rsid w:val="007E05FC"/>
    <w:rsid w:val="007E2D4F"/>
    <w:rsid w:val="007E341C"/>
    <w:rsid w:val="007E364A"/>
    <w:rsid w:val="007E6BC2"/>
    <w:rsid w:val="007F0B44"/>
    <w:rsid w:val="007F54E1"/>
    <w:rsid w:val="007F6F14"/>
    <w:rsid w:val="00803DC5"/>
    <w:rsid w:val="00811C2C"/>
    <w:rsid w:val="008120F6"/>
    <w:rsid w:val="00813557"/>
    <w:rsid w:val="00814BD2"/>
    <w:rsid w:val="0081513D"/>
    <w:rsid w:val="00816590"/>
    <w:rsid w:val="00823745"/>
    <w:rsid w:val="008313E1"/>
    <w:rsid w:val="008559C0"/>
    <w:rsid w:val="00863E48"/>
    <w:rsid w:val="00870FC9"/>
    <w:rsid w:val="0087267F"/>
    <w:rsid w:val="00876741"/>
    <w:rsid w:val="008807F6"/>
    <w:rsid w:val="00882771"/>
    <w:rsid w:val="00891067"/>
    <w:rsid w:val="00892DD3"/>
    <w:rsid w:val="00896661"/>
    <w:rsid w:val="00896BE6"/>
    <w:rsid w:val="008A0D2B"/>
    <w:rsid w:val="008A1CFD"/>
    <w:rsid w:val="008A4224"/>
    <w:rsid w:val="008B6D58"/>
    <w:rsid w:val="008D0051"/>
    <w:rsid w:val="008D128C"/>
    <w:rsid w:val="008D408F"/>
    <w:rsid w:val="008E180A"/>
    <w:rsid w:val="008E1904"/>
    <w:rsid w:val="008E2F4B"/>
    <w:rsid w:val="008E3E53"/>
    <w:rsid w:val="008E4D04"/>
    <w:rsid w:val="008E5E1C"/>
    <w:rsid w:val="008E6C9C"/>
    <w:rsid w:val="008F58D4"/>
    <w:rsid w:val="008F605A"/>
    <w:rsid w:val="008F7DED"/>
    <w:rsid w:val="00902F56"/>
    <w:rsid w:val="00905D46"/>
    <w:rsid w:val="00907456"/>
    <w:rsid w:val="00911DC9"/>
    <w:rsid w:val="00913C8B"/>
    <w:rsid w:val="009249A3"/>
    <w:rsid w:val="0092753C"/>
    <w:rsid w:val="0093223E"/>
    <w:rsid w:val="009334F5"/>
    <w:rsid w:val="009342FB"/>
    <w:rsid w:val="009347F5"/>
    <w:rsid w:val="009377B0"/>
    <w:rsid w:val="00937D18"/>
    <w:rsid w:val="00940C88"/>
    <w:rsid w:val="009428C3"/>
    <w:rsid w:val="00942CEA"/>
    <w:rsid w:val="009466B6"/>
    <w:rsid w:val="00946DA1"/>
    <w:rsid w:val="00952275"/>
    <w:rsid w:val="009565B9"/>
    <w:rsid w:val="00956B5A"/>
    <w:rsid w:val="00957283"/>
    <w:rsid w:val="00957660"/>
    <w:rsid w:val="00961DCB"/>
    <w:rsid w:val="00967E21"/>
    <w:rsid w:val="00976263"/>
    <w:rsid w:val="009779C1"/>
    <w:rsid w:val="00980442"/>
    <w:rsid w:val="009816D9"/>
    <w:rsid w:val="0098381F"/>
    <w:rsid w:val="00985AC4"/>
    <w:rsid w:val="00990987"/>
    <w:rsid w:val="00992FF9"/>
    <w:rsid w:val="00994FE1"/>
    <w:rsid w:val="0099521B"/>
    <w:rsid w:val="009A3A98"/>
    <w:rsid w:val="009A44B5"/>
    <w:rsid w:val="009B649B"/>
    <w:rsid w:val="009B77D3"/>
    <w:rsid w:val="009B7BA0"/>
    <w:rsid w:val="009C09CB"/>
    <w:rsid w:val="009D0953"/>
    <w:rsid w:val="009D2131"/>
    <w:rsid w:val="009D5E1F"/>
    <w:rsid w:val="009E4074"/>
    <w:rsid w:val="009E529A"/>
    <w:rsid w:val="009F0837"/>
    <w:rsid w:val="009F2302"/>
    <w:rsid w:val="009F4504"/>
    <w:rsid w:val="009F6866"/>
    <w:rsid w:val="00A00371"/>
    <w:rsid w:val="00A01B3F"/>
    <w:rsid w:val="00A037AB"/>
    <w:rsid w:val="00A044DB"/>
    <w:rsid w:val="00A149A0"/>
    <w:rsid w:val="00A1560E"/>
    <w:rsid w:val="00A17710"/>
    <w:rsid w:val="00A217A1"/>
    <w:rsid w:val="00A22CFA"/>
    <w:rsid w:val="00A244C6"/>
    <w:rsid w:val="00A36AE3"/>
    <w:rsid w:val="00A40826"/>
    <w:rsid w:val="00A45556"/>
    <w:rsid w:val="00A52E22"/>
    <w:rsid w:val="00A54701"/>
    <w:rsid w:val="00A611FA"/>
    <w:rsid w:val="00A63671"/>
    <w:rsid w:val="00A652AC"/>
    <w:rsid w:val="00A67BCA"/>
    <w:rsid w:val="00A705C9"/>
    <w:rsid w:val="00A7503F"/>
    <w:rsid w:val="00A7531F"/>
    <w:rsid w:val="00A776F2"/>
    <w:rsid w:val="00A86399"/>
    <w:rsid w:val="00A917D5"/>
    <w:rsid w:val="00A979F9"/>
    <w:rsid w:val="00A97D63"/>
    <w:rsid w:val="00AA0958"/>
    <w:rsid w:val="00AA322C"/>
    <w:rsid w:val="00AA402E"/>
    <w:rsid w:val="00AA7F67"/>
    <w:rsid w:val="00AB1ABA"/>
    <w:rsid w:val="00AB3453"/>
    <w:rsid w:val="00AB62B5"/>
    <w:rsid w:val="00AC4166"/>
    <w:rsid w:val="00AC4CD8"/>
    <w:rsid w:val="00AC514C"/>
    <w:rsid w:val="00AC5B5A"/>
    <w:rsid w:val="00AC6592"/>
    <w:rsid w:val="00AD137A"/>
    <w:rsid w:val="00AD1604"/>
    <w:rsid w:val="00AD7EA2"/>
    <w:rsid w:val="00AE0A1A"/>
    <w:rsid w:val="00AF1CC9"/>
    <w:rsid w:val="00AF23A2"/>
    <w:rsid w:val="00AF4237"/>
    <w:rsid w:val="00AF744E"/>
    <w:rsid w:val="00B0269B"/>
    <w:rsid w:val="00B03ACE"/>
    <w:rsid w:val="00B04CE9"/>
    <w:rsid w:val="00B10879"/>
    <w:rsid w:val="00B142EB"/>
    <w:rsid w:val="00B14A9F"/>
    <w:rsid w:val="00B15816"/>
    <w:rsid w:val="00B15FDD"/>
    <w:rsid w:val="00B22955"/>
    <w:rsid w:val="00B24662"/>
    <w:rsid w:val="00B27CB6"/>
    <w:rsid w:val="00B30438"/>
    <w:rsid w:val="00B309E3"/>
    <w:rsid w:val="00B33E9B"/>
    <w:rsid w:val="00B3495D"/>
    <w:rsid w:val="00B35385"/>
    <w:rsid w:val="00B36DF3"/>
    <w:rsid w:val="00B41A04"/>
    <w:rsid w:val="00B452F1"/>
    <w:rsid w:val="00B47E0F"/>
    <w:rsid w:val="00B53834"/>
    <w:rsid w:val="00B5703E"/>
    <w:rsid w:val="00B61C50"/>
    <w:rsid w:val="00B65088"/>
    <w:rsid w:val="00B655CF"/>
    <w:rsid w:val="00B764A1"/>
    <w:rsid w:val="00B801EE"/>
    <w:rsid w:val="00B80982"/>
    <w:rsid w:val="00B82713"/>
    <w:rsid w:val="00B90168"/>
    <w:rsid w:val="00B912AD"/>
    <w:rsid w:val="00B9358F"/>
    <w:rsid w:val="00BB2191"/>
    <w:rsid w:val="00BB58A2"/>
    <w:rsid w:val="00BB7152"/>
    <w:rsid w:val="00BB7A58"/>
    <w:rsid w:val="00BC0A92"/>
    <w:rsid w:val="00BC33D8"/>
    <w:rsid w:val="00BC46D6"/>
    <w:rsid w:val="00BC5CE3"/>
    <w:rsid w:val="00BC63F8"/>
    <w:rsid w:val="00BC7DAD"/>
    <w:rsid w:val="00BD00C7"/>
    <w:rsid w:val="00BD7779"/>
    <w:rsid w:val="00BE00F5"/>
    <w:rsid w:val="00BE12B1"/>
    <w:rsid w:val="00BE1C4E"/>
    <w:rsid w:val="00BE4519"/>
    <w:rsid w:val="00BF02F3"/>
    <w:rsid w:val="00BF686D"/>
    <w:rsid w:val="00C006A3"/>
    <w:rsid w:val="00C01A7F"/>
    <w:rsid w:val="00C033E9"/>
    <w:rsid w:val="00C070F7"/>
    <w:rsid w:val="00C14427"/>
    <w:rsid w:val="00C14449"/>
    <w:rsid w:val="00C17BF7"/>
    <w:rsid w:val="00C21893"/>
    <w:rsid w:val="00C2248E"/>
    <w:rsid w:val="00C2348B"/>
    <w:rsid w:val="00C23774"/>
    <w:rsid w:val="00C30FF4"/>
    <w:rsid w:val="00C37255"/>
    <w:rsid w:val="00C422B9"/>
    <w:rsid w:val="00C63420"/>
    <w:rsid w:val="00C7439B"/>
    <w:rsid w:val="00C76AAF"/>
    <w:rsid w:val="00C80B78"/>
    <w:rsid w:val="00C90E0A"/>
    <w:rsid w:val="00C9484D"/>
    <w:rsid w:val="00C97622"/>
    <w:rsid w:val="00CA07E0"/>
    <w:rsid w:val="00CA2113"/>
    <w:rsid w:val="00CA2B56"/>
    <w:rsid w:val="00CA41A6"/>
    <w:rsid w:val="00CA53F3"/>
    <w:rsid w:val="00CA64F0"/>
    <w:rsid w:val="00CA7C87"/>
    <w:rsid w:val="00CB0AA3"/>
    <w:rsid w:val="00CB3F98"/>
    <w:rsid w:val="00CB56B1"/>
    <w:rsid w:val="00CB5C6D"/>
    <w:rsid w:val="00CC1B7E"/>
    <w:rsid w:val="00CC2F6A"/>
    <w:rsid w:val="00CC3588"/>
    <w:rsid w:val="00CC3994"/>
    <w:rsid w:val="00CC64DA"/>
    <w:rsid w:val="00CC781B"/>
    <w:rsid w:val="00CD03C6"/>
    <w:rsid w:val="00CD0CD8"/>
    <w:rsid w:val="00CD2BC3"/>
    <w:rsid w:val="00CD336E"/>
    <w:rsid w:val="00CD4E87"/>
    <w:rsid w:val="00CE3191"/>
    <w:rsid w:val="00CE3F6D"/>
    <w:rsid w:val="00CE6564"/>
    <w:rsid w:val="00CF351F"/>
    <w:rsid w:val="00CF4686"/>
    <w:rsid w:val="00CF5F5C"/>
    <w:rsid w:val="00D01625"/>
    <w:rsid w:val="00D0514C"/>
    <w:rsid w:val="00D10A79"/>
    <w:rsid w:val="00D12D6D"/>
    <w:rsid w:val="00D151D6"/>
    <w:rsid w:val="00D22A30"/>
    <w:rsid w:val="00D24E9B"/>
    <w:rsid w:val="00D24FC2"/>
    <w:rsid w:val="00D253DD"/>
    <w:rsid w:val="00D30282"/>
    <w:rsid w:val="00D31928"/>
    <w:rsid w:val="00D3212B"/>
    <w:rsid w:val="00D34AD2"/>
    <w:rsid w:val="00D4321D"/>
    <w:rsid w:val="00D441C7"/>
    <w:rsid w:val="00D4666E"/>
    <w:rsid w:val="00D47264"/>
    <w:rsid w:val="00D55F67"/>
    <w:rsid w:val="00D679DE"/>
    <w:rsid w:val="00D73088"/>
    <w:rsid w:val="00D80A91"/>
    <w:rsid w:val="00D854CA"/>
    <w:rsid w:val="00D866BE"/>
    <w:rsid w:val="00D86B95"/>
    <w:rsid w:val="00D90416"/>
    <w:rsid w:val="00D93DD3"/>
    <w:rsid w:val="00D95A76"/>
    <w:rsid w:val="00D977F7"/>
    <w:rsid w:val="00DA5164"/>
    <w:rsid w:val="00DB2915"/>
    <w:rsid w:val="00DB2AA0"/>
    <w:rsid w:val="00DB3CC3"/>
    <w:rsid w:val="00DD1ED0"/>
    <w:rsid w:val="00DD55AC"/>
    <w:rsid w:val="00DD741A"/>
    <w:rsid w:val="00DD793E"/>
    <w:rsid w:val="00DE1D2B"/>
    <w:rsid w:val="00DE22D7"/>
    <w:rsid w:val="00DE22F0"/>
    <w:rsid w:val="00DE4974"/>
    <w:rsid w:val="00DE7226"/>
    <w:rsid w:val="00DE7F5E"/>
    <w:rsid w:val="00DF0143"/>
    <w:rsid w:val="00DF12A6"/>
    <w:rsid w:val="00DF1895"/>
    <w:rsid w:val="00DF2D47"/>
    <w:rsid w:val="00DF497D"/>
    <w:rsid w:val="00DF5072"/>
    <w:rsid w:val="00DF776A"/>
    <w:rsid w:val="00E01816"/>
    <w:rsid w:val="00E02E67"/>
    <w:rsid w:val="00E0365A"/>
    <w:rsid w:val="00E040EA"/>
    <w:rsid w:val="00E1305F"/>
    <w:rsid w:val="00E139C2"/>
    <w:rsid w:val="00E206C6"/>
    <w:rsid w:val="00E232B4"/>
    <w:rsid w:val="00E23EAA"/>
    <w:rsid w:val="00E2422B"/>
    <w:rsid w:val="00E31026"/>
    <w:rsid w:val="00E41E33"/>
    <w:rsid w:val="00E4321B"/>
    <w:rsid w:val="00E55585"/>
    <w:rsid w:val="00E55B38"/>
    <w:rsid w:val="00E6349B"/>
    <w:rsid w:val="00E70DDD"/>
    <w:rsid w:val="00E71103"/>
    <w:rsid w:val="00E72402"/>
    <w:rsid w:val="00E83F2D"/>
    <w:rsid w:val="00E84A41"/>
    <w:rsid w:val="00E863AA"/>
    <w:rsid w:val="00E87F80"/>
    <w:rsid w:val="00E9517B"/>
    <w:rsid w:val="00EA7B1D"/>
    <w:rsid w:val="00EB2F94"/>
    <w:rsid w:val="00EB7187"/>
    <w:rsid w:val="00EC36EF"/>
    <w:rsid w:val="00EC5EBB"/>
    <w:rsid w:val="00ED1E73"/>
    <w:rsid w:val="00ED2D6A"/>
    <w:rsid w:val="00ED42CD"/>
    <w:rsid w:val="00EE132F"/>
    <w:rsid w:val="00EE2E80"/>
    <w:rsid w:val="00EE4E9F"/>
    <w:rsid w:val="00EF34C5"/>
    <w:rsid w:val="00EF45B0"/>
    <w:rsid w:val="00EF4A49"/>
    <w:rsid w:val="00F0117A"/>
    <w:rsid w:val="00F06390"/>
    <w:rsid w:val="00F16626"/>
    <w:rsid w:val="00F17346"/>
    <w:rsid w:val="00F20F2A"/>
    <w:rsid w:val="00F24AAB"/>
    <w:rsid w:val="00F301ED"/>
    <w:rsid w:val="00F30FDD"/>
    <w:rsid w:val="00F35591"/>
    <w:rsid w:val="00F434FD"/>
    <w:rsid w:val="00F51983"/>
    <w:rsid w:val="00F55338"/>
    <w:rsid w:val="00F577F1"/>
    <w:rsid w:val="00F60529"/>
    <w:rsid w:val="00F623AA"/>
    <w:rsid w:val="00F62A5F"/>
    <w:rsid w:val="00F63FB7"/>
    <w:rsid w:val="00F63FD5"/>
    <w:rsid w:val="00F751EE"/>
    <w:rsid w:val="00F75E61"/>
    <w:rsid w:val="00F75EBB"/>
    <w:rsid w:val="00F7612F"/>
    <w:rsid w:val="00F806E9"/>
    <w:rsid w:val="00F81224"/>
    <w:rsid w:val="00F814B1"/>
    <w:rsid w:val="00F82360"/>
    <w:rsid w:val="00F83ABB"/>
    <w:rsid w:val="00F8647B"/>
    <w:rsid w:val="00F91037"/>
    <w:rsid w:val="00F91F5F"/>
    <w:rsid w:val="00FA04A4"/>
    <w:rsid w:val="00FA5301"/>
    <w:rsid w:val="00FB1E54"/>
    <w:rsid w:val="00FB3FDD"/>
    <w:rsid w:val="00FB5140"/>
    <w:rsid w:val="00FB56E3"/>
    <w:rsid w:val="00FC1BAF"/>
    <w:rsid w:val="00FC252B"/>
    <w:rsid w:val="00FD647D"/>
    <w:rsid w:val="00FE2ED8"/>
    <w:rsid w:val="00FF1E5E"/>
    <w:rsid w:val="00FF20FE"/>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1154E33D"/>
  <w15:docId w15:val="{728D43D1-CA05-4B7E-BC1C-340B10D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6FD"/>
    <w:pPr>
      <w:tabs>
        <w:tab w:val="center" w:pos="4320"/>
        <w:tab w:val="right" w:pos="8640"/>
      </w:tabs>
    </w:pPr>
  </w:style>
  <w:style w:type="character" w:customStyle="1" w:styleId="HeaderChar">
    <w:name w:val="Header Char"/>
    <w:basedOn w:val="DefaultParagraphFont"/>
    <w:link w:val="Header"/>
    <w:uiPriority w:val="99"/>
    <w:rsid w:val="001B56FD"/>
    <w:rPr>
      <w:lang w:val="en-AU"/>
    </w:rPr>
  </w:style>
  <w:style w:type="paragraph" w:styleId="Footer">
    <w:name w:val="footer"/>
    <w:basedOn w:val="Normal"/>
    <w:link w:val="FooterChar"/>
    <w:uiPriority w:val="99"/>
    <w:unhideWhenUsed/>
    <w:rsid w:val="001B56FD"/>
    <w:pPr>
      <w:tabs>
        <w:tab w:val="center" w:pos="4320"/>
        <w:tab w:val="right" w:pos="8640"/>
      </w:tabs>
    </w:pPr>
  </w:style>
  <w:style w:type="character" w:customStyle="1" w:styleId="FooterChar">
    <w:name w:val="Footer Char"/>
    <w:basedOn w:val="DefaultParagraphFont"/>
    <w:link w:val="Footer"/>
    <w:uiPriority w:val="99"/>
    <w:rsid w:val="001B56FD"/>
    <w:rPr>
      <w:lang w:val="en-AU"/>
    </w:rPr>
  </w:style>
  <w:style w:type="paragraph" w:styleId="BalloonText">
    <w:name w:val="Balloon Text"/>
    <w:basedOn w:val="Normal"/>
    <w:link w:val="BalloonTextChar"/>
    <w:uiPriority w:val="99"/>
    <w:semiHidden/>
    <w:unhideWhenUsed/>
    <w:rsid w:val="001B5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6FD"/>
    <w:rPr>
      <w:rFonts w:ascii="Lucida Grande" w:hAnsi="Lucida Grande" w:cs="Lucida Grande"/>
      <w:sz w:val="18"/>
      <w:szCs w:val="18"/>
      <w:lang w:val="en-AU"/>
    </w:rPr>
  </w:style>
  <w:style w:type="character" w:styleId="PageNumber">
    <w:name w:val="page number"/>
    <w:basedOn w:val="DefaultParagraphFont"/>
    <w:uiPriority w:val="99"/>
    <w:semiHidden/>
    <w:unhideWhenUsed/>
    <w:rsid w:val="004B696D"/>
  </w:style>
  <w:style w:type="paragraph" w:styleId="ListParagraph">
    <w:name w:val="List Paragraph"/>
    <w:basedOn w:val="Normal"/>
    <w:uiPriority w:val="34"/>
    <w:qFormat/>
    <w:rsid w:val="003A01B6"/>
    <w:pPr>
      <w:ind w:left="720"/>
      <w:contextualSpacing/>
    </w:pPr>
  </w:style>
  <w:style w:type="paragraph" w:customStyle="1" w:styleId="Body">
    <w:name w:val="Body"/>
    <w:basedOn w:val="Normal"/>
    <w:link w:val="BodyChar"/>
    <w:autoRedefine/>
    <w:rsid w:val="00DD1ED0"/>
    <w:pPr>
      <w:spacing w:after="120" w:line="230" w:lineRule="exact"/>
    </w:pPr>
    <w:rPr>
      <w:rFonts w:ascii="Verdana" w:hAnsi="Verdana" w:cs="Times New Roman"/>
      <w:sz w:val="18"/>
      <w:szCs w:val="18"/>
      <w:lang w:val="en-US" w:eastAsia="en-AU"/>
    </w:rPr>
  </w:style>
  <w:style w:type="character" w:customStyle="1" w:styleId="BodyChar">
    <w:name w:val="Body Char"/>
    <w:basedOn w:val="DefaultParagraphFont"/>
    <w:link w:val="Body"/>
    <w:rsid w:val="00DD1ED0"/>
    <w:rPr>
      <w:rFonts w:ascii="Verdana" w:hAnsi="Verdana" w:cs="Times New Roman"/>
      <w:sz w:val="18"/>
      <w:szCs w:val="18"/>
      <w:lang w:eastAsia="en-AU"/>
    </w:rPr>
  </w:style>
  <w:style w:type="paragraph" w:customStyle="1" w:styleId="TableHeading">
    <w:name w:val="TableHeading"/>
    <w:basedOn w:val="Normal"/>
    <w:autoRedefine/>
    <w:rsid w:val="002B7F4B"/>
    <w:pPr>
      <w:spacing w:before="57" w:after="57" w:line="200" w:lineRule="exact"/>
    </w:pPr>
    <w:rPr>
      <w:rFonts w:ascii="Verdana" w:eastAsia="Times New Roman" w:hAnsi="Verdana" w:cs="Times New Roman"/>
      <w:b/>
      <w:color w:val="FFFFFF" w:themeColor="background1"/>
      <w:sz w:val="16"/>
      <w:szCs w:val="16"/>
      <w:lang w:val="en-US"/>
    </w:rPr>
  </w:style>
  <w:style w:type="paragraph" w:customStyle="1" w:styleId="Footnote">
    <w:name w:val="Footnote"/>
    <w:basedOn w:val="Normal"/>
    <w:qFormat/>
    <w:rsid w:val="002B7F4B"/>
    <w:pPr>
      <w:spacing w:after="57" w:line="170" w:lineRule="exact"/>
      <w:ind w:left="227" w:hanging="227"/>
    </w:pPr>
    <w:rPr>
      <w:rFonts w:ascii="Verdana" w:eastAsia="Times New Roman" w:hAnsi="Verdana" w:cs="Times New Roman"/>
      <w:color w:val="58595B"/>
      <w:sz w:val="13"/>
    </w:rPr>
  </w:style>
  <w:style w:type="paragraph" w:customStyle="1" w:styleId="Subheading1">
    <w:name w:val="Subheading 1"/>
    <w:basedOn w:val="Normal"/>
    <w:link w:val="Subheading1Char"/>
    <w:qFormat/>
    <w:rsid w:val="002B7F4B"/>
    <w:pPr>
      <w:spacing w:before="360" w:after="120" w:line="320" w:lineRule="exact"/>
    </w:pPr>
    <w:rPr>
      <w:rFonts w:ascii="Verdana" w:eastAsia="Times New Roman" w:hAnsi="Verdana" w:cs="Times New Roman"/>
      <w:color w:val="007DBA"/>
      <w:sz w:val="32"/>
    </w:rPr>
  </w:style>
  <w:style w:type="character" w:customStyle="1" w:styleId="Subheading1Char">
    <w:name w:val="Subheading 1 Char"/>
    <w:basedOn w:val="DefaultParagraphFont"/>
    <w:link w:val="Subheading1"/>
    <w:rsid w:val="002B7F4B"/>
    <w:rPr>
      <w:rFonts w:ascii="Verdana" w:eastAsia="Times New Roman" w:hAnsi="Verdana" w:cs="Times New Roman"/>
      <w:color w:val="007DBA"/>
      <w:sz w:val="32"/>
      <w:lang w:val="en-AU"/>
    </w:rPr>
  </w:style>
  <w:style w:type="paragraph" w:customStyle="1" w:styleId="Table1">
    <w:name w:val="Table 1"/>
    <w:basedOn w:val="Normal"/>
    <w:link w:val="Table1Char"/>
    <w:qFormat/>
    <w:rsid w:val="002B7F4B"/>
    <w:pPr>
      <w:spacing w:before="57" w:after="57" w:line="200" w:lineRule="exact"/>
      <w:ind w:right="-390"/>
    </w:pPr>
    <w:rPr>
      <w:rFonts w:ascii="Verdana" w:eastAsia="Times New Roman" w:hAnsi="Verdana" w:cs="Times New Roman"/>
      <w:color w:val="58595B"/>
      <w:sz w:val="18"/>
      <w:szCs w:val="16"/>
      <w:lang w:val="nl-NL"/>
    </w:rPr>
  </w:style>
  <w:style w:type="character" w:customStyle="1" w:styleId="Table1Char">
    <w:name w:val="Table 1 Char"/>
    <w:basedOn w:val="DefaultParagraphFont"/>
    <w:link w:val="Table1"/>
    <w:rsid w:val="002B7F4B"/>
    <w:rPr>
      <w:rFonts w:ascii="Verdana" w:eastAsia="Times New Roman" w:hAnsi="Verdana" w:cs="Times New Roman"/>
      <w:color w:val="58595B"/>
      <w:sz w:val="18"/>
      <w:szCs w:val="16"/>
      <w:lang w:val="nl-NL"/>
    </w:rPr>
  </w:style>
  <w:style w:type="character" w:styleId="CommentReference">
    <w:name w:val="annotation reference"/>
    <w:basedOn w:val="DefaultParagraphFont"/>
    <w:uiPriority w:val="99"/>
    <w:semiHidden/>
    <w:unhideWhenUsed/>
    <w:rsid w:val="00735B13"/>
    <w:rPr>
      <w:sz w:val="16"/>
      <w:szCs w:val="16"/>
    </w:rPr>
  </w:style>
  <w:style w:type="paragraph" w:styleId="CommentText">
    <w:name w:val="annotation text"/>
    <w:basedOn w:val="Normal"/>
    <w:link w:val="CommentTextChar"/>
    <w:uiPriority w:val="99"/>
    <w:semiHidden/>
    <w:unhideWhenUsed/>
    <w:rsid w:val="00735B13"/>
    <w:rPr>
      <w:sz w:val="20"/>
      <w:szCs w:val="20"/>
    </w:rPr>
  </w:style>
  <w:style w:type="character" w:customStyle="1" w:styleId="CommentTextChar">
    <w:name w:val="Comment Text Char"/>
    <w:basedOn w:val="DefaultParagraphFont"/>
    <w:link w:val="CommentText"/>
    <w:uiPriority w:val="99"/>
    <w:semiHidden/>
    <w:rsid w:val="00735B13"/>
    <w:rPr>
      <w:sz w:val="20"/>
      <w:szCs w:val="20"/>
      <w:lang w:val="en-AU"/>
    </w:rPr>
  </w:style>
  <w:style w:type="paragraph" w:styleId="CommentSubject">
    <w:name w:val="annotation subject"/>
    <w:basedOn w:val="CommentText"/>
    <w:next w:val="CommentText"/>
    <w:link w:val="CommentSubjectChar"/>
    <w:uiPriority w:val="99"/>
    <w:semiHidden/>
    <w:unhideWhenUsed/>
    <w:rsid w:val="00735B13"/>
    <w:rPr>
      <w:b/>
      <w:bCs/>
    </w:rPr>
  </w:style>
  <w:style w:type="character" w:customStyle="1" w:styleId="CommentSubjectChar">
    <w:name w:val="Comment Subject Char"/>
    <w:basedOn w:val="CommentTextChar"/>
    <w:link w:val="CommentSubject"/>
    <w:uiPriority w:val="99"/>
    <w:semiHidden/>
    <w:rsid w:val="00735B13"/>
    <w:rPr>
      <w:b/>
      <w:bCs/>
      <w:sz w:val="20"/>
      <w:szCs w:val="20"/>
      <w:lang w:val="en-AU"/>
    </w:rPr>
  </w:style>
  <w:style w:type="paragraph" w:styleId="Revision">
    <w:name w:val="Revision"/>
    <w:hidden/>
    <w:uiPriority w:val="99"/>
    <w:semiHidden/>
    <w:rsid w:val="002B58D0"/>
    <w:rPr>
      <w:lang w:val="en-AU"/>
    </w:rPr>
  </w:style>
  <w:style w:type="paragraph" w:styleId="NoSpacing">
    <w:name w:val="No Spacing"/>
    <w:autoRedefine/>
    <w:uiPriority w:val="1"/>
    <w:qFormat/>
    <w:rsid w:val="00A7531F"/>
    <w:rPr>
      <w:rFonts w:ascii="Arial" w:eastAsiaTheme="minorHAnsi" w:hAnsi="Arial"/>
      <w:sz w:val="18"/>
      <w:szCs w:val="22"/>
      <w:lang w:val="en-AU"/>
    </w:rPr>
  </w:style>
  <w:style w:type="character" w:styleId="Hyperlink">
    <w:name w:val="Hyperlink"/>
    <w:basedOn w:val="DefaultParagraphFont"/>
    <w:uiPriority w:val="99"/>
    <w:unhideWhenUsed/>
    <w:rsid w:val="0035118D"/>
    <w:rPr>
      <w:color w:val="0000FF" w:themeColor="hyperlink"/>
      <w:u w:val="single"/>
    </w:rPr>
  </w:style>
  <w:style w:type="character" w:styleId="Emphasis">
    <w:name w:val="Emphasis"/>
    <w:basedOn w:val="DefaultParagraphFont"/>
    <w:uiPriority w:val="20"/>
    <w:qFormat/>
    <w:rsid w:val="00E040EA"/>
    <w:rPr>
      <w:i/>
      <w:iCs/>
    </w:rPr>
  </w:style>
  <w:style w:type="character" w:styleId="Strong">
    <w:name w:val="Strong"/>
    <w:basedOn w:val="DefaultParagraphFont"/>
    <w:uiPriority w:val="22"/>
    <w:qFormat/>
    <w:rsid w:val="00E040EA"/>
    <w:rPr>
      <w:b/>
      <w:bCs/>
    </w:rPr>
  </w:style>
  <w:style w:type="paragraph" w:customStyle="1" w:styleId="Default">
    <w:name w:val="Default"/>
    <w:basedOn w:val="Normal"/>
    <w:rsid w:val="00E0365A"/>
    <w:pPr>
      <w:autoSpaceDE w:val="0"/>
      <w:autoSpaceDN w:val="0"/>
    </w:pPr>
    <w:rPr>
      <w:rFonts w:ascii="Arial" w:eastAsiaTheme="minorHAnsi" w:hAnsi="Arial" w:cs="Arial"/>
      <w:color w:val="000000"/>
      <w:lang w:eastAsia="en-AU"/>
    </w:rPr>
  </w:style>
  <w:style w:type="character" w:styleId="UnresolvedMention">
    <w:name w:val="Unresolved Mention"/>
    <w:basedOn w:val="DefaultParagraphFont"/>
    <w:uiPriority w:val="99"/>
    <w:semiHidden/>
    <w:unhideWhenUsed/>
    <w:rsid w:val="00E0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96">
      <w:bodyDiv w:val="1"/>
      <w:marLeft w:val="0"/>
      <w:marRight w:val="0"/>
      <w:marTop w:val="0"/>
      <w:marBottom w:val="0"/>
      <w:divBdr>
        <w:top w:val="none" w:sz="0" w:space="0" w:color="auto"/>
        <w:left w:val="none" w:sz="0" w:space="0" w:color="auto"/>
        <w:bottom w:val="none" w:sz="0" w:space="0" w:color="auto"/>
        <w:right w:val="none" w:sz="0" w:space="0" w:color="auto"/>
      </w:divBdr>
    </w:div>
    <w:div w:id="372853270">
      <w:bodyDiv w:val="1"/>
      <w:marLeft w:val="0"/>
      <w:marRight w:val="0"/>
      <w:marTop w:val="0"/>
      <w:marBottom w:val="0"/>
      <w:divBdr>
        <w:top w:val="none" w:sz="0" w:space="0" w:color="auto"/>
        <w:left w:val="none" w:sz="0" w:space="0" w:color="auto"/>
        <w:bottom w:val="none" w:sz="0" w:space="0" w:color="auto"/>
        <w:right w:val="none" w:sz="0" w:space="0" w:color="auto"/>
      </w:divBdr>
    </w:div>
    <w:div w:id="856584047">
      <w:bodyDiv w:val="1"/>
      <w:marLeft w:val="0"/>
      <w:marRight w:val="0"/>
      <w:marTop w:val="0"/>
      <w:marBottom w:val="0"/>
      <w:divBdr>
        <w:top w:val="none" w:sz="0" w:space="0" w:color="auto"/>
        <w:left w:val="none" w:sz="0" w:space="0" w:color="auto"/>
        <w:bottom w:val="none" w:sz="0" w:space="0" w:color="auto"/>
        <w:right w:val="none" w:sz="0" w:space="0" w:color="auto"/>
      </w:divBdr>
    </w:div>
    <w:div w:id="1472089465">
      <w:bodyDiv w:val="1"/>
      <w:marLeft w:val="0"/>
      <w:marRight w:val="0"/>
      <w:marTop w:val="0"/>
      <w:marBottom w:val="0"/>
      <w:divBdr>
        <w:top w:val="none" w:sz="0" w:space="0" w:color="auto"/>
        <w:left w:val="none" w:sz="0" w:space="0" w:color="auto"/>
        <w:bottom w:val="none" w:sz="0" w:space="0" w:color="auto"/>
        <w:right w:val="none" w:sz="0" w:space="0" w:color="auto"/>
      </w:divBdr>
    </w:div>
    <w:div w:id="1484472674">
      <w:bodyDiv w:val="1"/>
      <w:marLeft w:val="0"/>
      <w:marRight w:val="0"/>
      <w:marTop w:val="0"/>
      <w:marBottom w:val="0"/>
      <w:divBdr>
        <w:top w:val="none" w:sz="0" w:space="0" w:color="auto"/>
        <w:left w:val="none" w:sz="0" w:space="0" w:color="auto"/>
        <w:bottom w:val="none" w:sz="0" w:space="0" w:color="auto"/>
        <w:right w:val="none" w:sz="0" w:space="0" w:color="auto"/>
      </w:divBdr>
    </w:div>
    <w:div w:id="1582373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www.ioof.com.au/adviser/investment_funds/ioof_advice_research_process" TargetMode="External"/><Relationship Id="rId1" Type="http://schemas.openxmlformats.org/officeDocument/2006/relationships/hyperlink" Target="https://www.financialservicespartners.com.au/site_assets/media/files/5774dd49-ee1d-49b2-baad-0db8e0b80a2d/FS4053%20FSP%20FinSvcsGuide-Oc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B4F1-D500-48D2-B936-A61D9F99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Noble Brands Worldwide Pty Ltd</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Noble</dc:creator>
  <cp:lastModifiedBy>Kathryn Price</cp:lastModifiedBy>
  <cp:revision>2</cp:revision>
  <cp:lastPrinted>2020-02-24T03:35:00Z</cp:lastPrinted>
  <dcterms:created xsi:type="dcterms:W3CDTF">2020-02-24T03:36:00Z</dcterms:created>
  <dcterms:modified xsi:type="dcterms:W3CDTF">2020-02-24T03:36:00Z</dcterms:modified>
</cp:coreProperties>
</file>